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40" w:rsidRPr="00C94A69" w:rsidRDefault="00C94A69" w:rsidP="007E61EF">
      <w:pPr>
        <w:pStyle w:val="Title1"/>
        <w:rPr>
          <w:lang w:val="lv-LV"/>
        </w:rPr>
      </w:pPr>
      <w:r w:rsidRPr="00C94A69">
        <w:rPr>
          <w:lang w:val="lv-LV"/>
        </w:rPr>
        <w:t>Jauns ceļš Eiropas attīstībai</w:t>
      </w:r>
      <w:r w:rsidR="00F96755" w:rsidRPr="00C94A69">
        <w:rPr>
          <w:lang w:val="lv-LV"/>
        </w:rPr>
        <w:t>:</w:t>
      </w:r>
    </w:p>
    <w:p w:rsidR="00F96755" w:rsidRPr="00C94A69" w:rsidRDefault="00F96755" w:rsidP="007E61EF">
      <w:pPr>
        <w:pStyle w:val="Title1"/>
        <w:rPr>
          <w:lang w:val="lv-LV"/>
        </w:rPr>
      </w:pPr>
      <w:r w:rsidRPr="00130050">
        <w:rPr>
          <w:i/>
          <w:lang w:val="lv-LV"/>
        </w:rPr>
        <w:t>ETUC</w:t>
      </w:r>
      <w:r w:rsidRPr="00C94A69">
        <w:rPr>
          <w:lang w:val="lv-LV"/>
        </w:rPr>
        <w:t xml:space="preserve"> </w:t>
      </w:r>
      <w:r w:rsidR="00C94A69" w:rsidRPr="00C94A69">
        <w:rPr>
          <w:lang w:val="lv-LV"/>
        </w:rPr>
        <w:t xml:space="preserve">plāns </w:t>
      </w:r>
      <w:r w:rsidR="00130050">
        <w:rPr>
          <w:lang w:val="lv-LV"/>
        </w:rPr>
        <w:t>ieguldījumu, ilgtspējī</w:t>
      </w:r>
      <w:r w:rsidR="00C94A69" w:rsidRPr="00C94A69">
        <w:rPr>
          <w:lang w:val="lv-LV"/>
        </w:rPr>
        <w:t>gas izaugsmes un kvalitatīvu darbavietu izveidei</w:t>
      </w:r>
    </w:p>
    <w:p w:rsidR="008B4C40" w:rsidRPr="00C94A69" w:rsidRDefault="00D21494" w:rsidP="008B4C40">
      <w:pPr>
        <w:pStyle w:val="centered"/>
        <w:rPr>
          <w:rStyle w:val="BOLD"/>
          <w:lang w:val="lv-LV"/>
        </w:rPr>
      </w:pPr>
      <w:r w:rsidRPr="00C94A69">
        <w:rPr>
          <w:rStyle w:val="BOLD"/>
          <w:lang w:val="lv-LV"/>
        </w:rPr>
        <w:t xml:space="preserve"> </w:t>
      </w:r>
    </w:p>
    <w:p w:rsidR="00107B42" w:rsidRPr="00C94A69" w:rsidRDefault="0068456F" w:rsidP="00343279">
      <w:pPr>
        <w:pStyle w:val="centered"/>
        <w:rPr>
          <w:rStyle w:val="CleanChar"/>
          <w:lang w:val="lv-LV"/>
        </w:rPr>
      </w:pPr>
      <w:r w:rsidRPr="00C94A69">
        <w:rPr>
          <w:lang w:val="lv-LV"/>
        </w:rPr>
        <w:t xml:space="preserve">Pieņemts </w:t>
      </w:r>
      <w:r w:rsidR="00F96755" w:rsidRPr="00C94A69">
        <w:rPr>
          <w:rStyle w:val="CleanChar"/>
          <w:lang w:val="lv-LV"/>
        </w:rPr>
        <w:t xml:space="preserve">ETUC </w:t>
      </w:r>
      <w:r w:rsidR="008B3DCA">
        <w:rPr>
          <w:rStyle w:val="CleanChar"/>
          <w:lang w:val="lv-LV"/>
        </w:rPr>
        <w:t>izpild</w:t>
      </w:r>
      <w:r w:rsidRPr="00C94A69">
        <w:rPr>
          <w:rStyle w:val="CleanChar"/>
          <w:lang w:val="lv-LV"/>
        </w:rPr>
        <w:t>komitejas sanāk</w:t>
      </w:r>
      <w:r w:rsidR="00C94A69" w:rsidRPr="00C94A69">
        <w:rPr>
          <w:rStyle w:val="CleanChar"/>
          <w:lang w:val="lv-LV"/>
        </w:rPr>
        <w:t>s</w:t>
      </w:r>
      <w:r w:rsidRPr="00C94A69">
        <w:rPr>
          <w:rStyle w:val="CleanChar"/>
          <w:lang w:val="lv-LV"/>
        </w:rPr>
        <w:t xml:space="preserve">mē 2013. </w:t>
      </w:r>
      <w:r w:rsidR="00C94A69" w:rsidRPr="00C94A69">
        <w:rPr>
          <w:rStyle w:val="CleanChar"/>
          <w:lang w:val="lv-LV"/>
        </w:rPr>
        <w:t>g</w:t>
      </w:r>
      <w:r w:rsidRPr="00C94A69">
        <w:rPr>
          <w:rStyle w:val="CleanChar"/>
          <w:lang w:val="lv-LV"/>
        </w:rPr>
        <w:t>ada 7. novembrī</w:t>
      </w:r>
    </w:p>
    <w:p w:rsidR="008B4C40" w:rsidRPr="00C94A69" w:rsidRDefault="008B4C40" w:rsidP="00DD2A84">
      <w:pPr>
        <w:pStyle w:val="RedLigne"/>
        <w:rPr>
          <w:rStyle w:val="BOLD"/>
          <w:lang w:val="lv-LV"/>
        </w:rPr>
      </w:pPr>
    </w:p>
    <w:p w:rsidR="00107B42" w:rsidRPr="00C94A69" w:rsidRDefault="00107B42" w:rsidP="00107B42">
      <w:pPr>
        <w:rPr>
          <w:color w:val="FF0000"/>
          <w:lang w:val="lv-LV"/>
        </w:rPr>
      </w:pPr>
    </w:p>
    <w:p w:rsidR="00F96755" w:rsidRPr="00C94A69" w:rsidRDefault="002F63FF" w:rsidP="00F96755">
      <w:pPr>
        <w:rPr>
          <w:rStyle w:val="BOLD"/>
          <w:lang w:val="lv-LV"/>
        </w:rPr>
      </w:pPr>
      <w:r w:rsidRPr="00C94A69">
        <w:rPr>
          <w:rStyle w:val="BOLD"/>
          <w:lang w:val="lv-LV"/>
        </w:rPr>
        <w:t>Ievads</w:t>
      </w:r>
      <w:r w:rsidR="00F96755" w:rsidRPr="00C94A69">
        <w:rPr>
          <w:rStyle w:val="BOLD"/>
          <w:lang w:val="lv-LV"/>
        </w:rPr>
        <w:t xml:space="preserve"> </w:t>
      </w:r>
    </w:p>
    <w:p w:rsidR="00F96755" w:rsidRPr="00C94A69" w:rsidRDefault="00F96755" w:rsidP="00F96755">
      <w:pPr>
        <w:rPr>
          <w:lang w:val="lv-LV"/>
        </w:rPr>
      </w:pPr>
    </w:p>
    <w:p w:rsidR="002F63FF" w:rsidRPr="00C94A69" w:rsidRDefault="002F63FF" w:rsidP="00F96755">
      <w:pPr>
        <w:rPr>
          <w:lang w:val="lv-LV"/>
        </w:rPr>
      </w:pPr>
      <w:r w:rsidRPr="00C94A69">
        <w:rPr>
          <w:lang w:val="lv-LV"/>
        </w:rPr>
        <w:t xml:space="preserve">Ekonomiskā un sociālā situācija Eiropas Savienībā ir satraucoša, it īpaši valstīs, kas nonākušas grūtībās. Mēs izsakām nožēlu par pieaugošo nevienlīdzību un ģeogrāfisko nelīdzsvarotību, </w:t>
      </w:r>
      <w:r w:rsidR="001A46B0">
        <w:rPr>
          <w:lang w:val="lv-LV"/>
        </w:rPr>
        <w:t>arvien augstāko</w:t>
      </w:r>
      <w:r w:rsidRPr="00C94A69">
        <w:rPr>
          <w:lang w:val="lv-LV"/>
        </w:rPr>
        <w:t xml:space="preserve"> bezdarba līmeni – īpaši jaunu cilvēku vidū -, patēriņa samazināšanos, apdraudēto sociālo kohēziju, </w:t>
      </w:r>
      <w:r w:rsidR="001A46B0">
        <w:rPr>
          <w:lang w:val="lv-LV"/>
        </w:rPr>
        <w:t>pieaugošo</w:t>
      </w:r>
      <w:r w:rsidRPr="00C94A69">
        <w:rPr>
          <w:lang w:val="lv-LV"/>
        </w:rPr>
        <w:t xml:space="preserve"> politisko nestabilitāti, antieiropiski noskaņotu grupu veidošanos un vietējo tirgu sabrukumu. Šādu situāciju ir radījusi stingras taupības politika, kas sekmēja iekšējo devalvāciju, publisko pakalpojumu privatizāciju, algu, pensiju un sociālo pabalstu samazināšanu. Šobrīd esam nonākuši ekonomikas lejupslīdes spirālē un situācijā, kad ir palielinājušies valst</w:t>
      </w:r>
      <w:r w:rsidR="00130050">
        <w:rPr>
          <w:lang w:val="lv-LV"/>
        </w:rPr>
        <w:t>u</w:t>
      </w:r>
      <w:r w:rsidRPr="00C94A69">
        <w:rPr>
          <w:lang w:val="lv-LV"/>
        </w:rPr>
        <w:t xml:space="preserve"> parādi. Pastāv draudi, ka recesija izplatīsies visā kontinentā un ietekmēs ekonomiku globālā mērogā. Turklāt minētā politika nevis palīdzēja pārvarēt ES ekonomiskās un politiskās atšķirības, bet gan saasināja tās</w:t>
      </w:r>
      <w:r w:rsidR="00130050">
        <w:rPr>
          <w:lang w:val="lv-LV"/>
        </w:rPr>
        <w:t>.</w:t>
      </w:r>
    </w:p>
    <w:p w:rsidR="002F63FF" w:rsidRPr="00C94A69" w:rsidRDefault="002F63FF" w:rsidP="00F96755">
      <w:pPr>
        <w:rPr>
          <w:lang w:val="lv-LV"/>
        </w:rPr>
      </w:pPr>
    </w:p>
    <w:p w:rsidR="00F96755" w:rsidRPr="00C94A69" w:rsidRDefault="00A3477C" w:rsidP="00F96755">
      <w:pPr>
        <w:rPr>
          <w:lang w:val="lv-LV"/>
        </w:rPr>
      </w:pPr>
      <w:r w:rsidRPr="00C94A69">
        <w:rPr>
          <w:lang w:val="lv-LV"/>
        </w:rPr>
        <w:t>V</w:t>
      </w:r>
      <w:r w:rsidR="002F63FF" w:rsidRPr="00C94A69">
        <w:rPr>
          <w:lang w:val="lv-LV"/>
        </w:rPr>
        <w:t>issmagāk</w:t>
      </w:r>
      <w:r w:rsidRPr="00C94A69">
        <w:rPr>
          <w:lang w:val="lv-LV"/>
        </w:rPr>
        <w:t xml:space="preserve"> skartajās valstīs daudzi strādājošie ir nonākuši patiesā izmisumā, tādēļ</w:t>
      </w:r>
      <w:r w:rsidR="002F63FF" w:rsidRPr="00C94A69">
        <w:rPr>
          <w:lang w:val="lv-LV"/>
        </w:rPr>
        <w:t xml:space="preserve"> </w:t>
      </w:r>
      <w:r w:rsidRPr="00C94A69">
        <w:rPr>
          <w:lang w:val="lv-LV"/>
        </w:rPr>
        <w:t xml:space="preserve">izplatīta ir iedzīvotāju </w:t>
      </w:r>
      <w:r w:rsidR="002F63FF" w:rsidRPr="00C94A69">
        <w:rPr>
          <w:lang w:val="lv-LV"/>
        </w:rPr>
        <w:t>do</w:t>
      </w:r>
      <w:r w:rsidRPr="00C94A69">
        <w:rPr>
          <w:lang w:val="lv-LV"/>
        </w:rPr>
        <w:t>šanās</w:t>
      </w:r>
      <w:r w:rsidR="002F63FF" w:rsidRPr="00C94A69">
        <w:rPr>
          <w:lang w:val="lv-LV"/>
        </w:rPr>
        <w:t xml:space="preserve"> īslaicīga vai pastāvīga darba meklējumos citās ES dalībvalstīs, turklāt ārpus regulētā darba tirgus, </w:t>
      </w:r>
      <w:r w:rsidRPr="00C94A69">
        <w:rPr>
          <w:lang w:val="lv-LV"/>
        </w:rPr>
        <w:t xml:space="preserve">un </w:t>
      </w:r>
      <w:r w:rsidR="002F63FF" w:rsidRPr="00C94A69">
        <w:rPr>
          <w:lang w:val="lv-LV"/>
        </w:rPr>
        <w:t>tādējādi rodas piespiedu mobilitāte, nevis vēlamā pārvietošanās brīvība.</w:t>
      </w:r>
      <w:r w:rsidR="00F96755" w:rsidRPr="00C94A69">
        <w:rPr>
          <w:lang w:val="lv-LV"/>
        </w:rPr>
        <w:t xml:space="preserve"> </w:t>
      </w:r>
    </w:p>
    <w:p w:rsidR="00F96755" w:rsidRPr="00C94A69" w:rsidRDefault="00F96755" w:rsidP="00F96755">
      <w:pPr>
        <w:rPr>
          <w:lang w:val="lv-LV"/>
        </w:rPr>
      </w:pPr>
    </w:p>
    <w:p w:rsidR="00A3477C" w:rsidRPr="00C94A69" w:rsidRDefault="00A3477C" w:rsidP="00A3477C">
      <w:pPr>
        <w:rPr>
          <w:lang w:val="lv-LV"/>
        </w:rPr>
      </w:pPr>
      <w:r w:rsidRPr="00C94A69">
        <w:rPr>
          <w:lang w:val="lv-LV"/>
        </w:rPr>
        <w:t>Tagad, 21. gadsimta otrajā pusē</w:t>
      </w:r>
      <w:r w:rsidR="001A46B0">
        <w:rPr>
          <w:lang w:val="lv-LV"/>
        </w:rPr>
        <w:t>,</w:t>
      </w:r>
      <w:r w:rsidRPr="00C94A69">
        <w:rPr>
          <w:lang w:val="lv-LV"/>
        </w:rPr>
        <w:t xml:space="preserve"> sastopamies arī ar citām biedējošām problēmām — demogrāfiskās attīstības tendences, dabas resursu nepietiekamība, pieaugošās enerģijas cenas, jaunietekmes ekonomikas valstu loma pasaules tirdzniecībā, </w:t>
      </w:r>
      <w:r w:rsidR="0054419B" w:rsidRPr="00C94A69">
        <w:rPr>
          <w:lang w:val="lv-LV"/>
        </w:rPr>
        <w:t xml:space="preserve">uzņēmējdarbības </w:t>
      </w:r>
      <w:r w:rsidRPr="00C94A69">
        <w:rPr>
          <w:lang w:val="lv-LV"/>
        </w:rPr>
        <w:t>arvien lielāka atkarība no zināšanām un tehnoloģijām, nepārejošā nenoteiktība banku sektorā.</w:t>
      </w:r>
    </w:p>
    <w:p w:rsidR="00F96755" w:rsidRPr="00C94A69" w:rsidRDefault="00F96755" w:rsidP="00F96755">
      <w:pPr>
        <w:rPr>
          <w:lang w:val="lv-LV"/>
        </w:rPr>
      </w:pPr>
    </w:p>
    <w:p w:rsidR="00E95B89" w:rsidRPr="002A600B" w:rsidRDefault="00E95B89" w:rsidP="00F96755">
      <w:pPr>
        <w:rPr>
          <w:lang w:val="lv-LV"/>
        </w:rPr>
      </w:pPr>
      <w:r>
        <w:rPr>
          <w:lang w:val="lv-LV"/>
        </w:rPr>
        <w:t>Mūsu steidzamākais uzdevums ir apturēt tautsaimniecīb</w:t>
      </w:r>
      <w:r w:rsidR="001A46B0">
        <w:rPr>
          <w:lang w:val="lv-LV"/>
        </w:rPr>
        <w:t>as</w:t>
      </w:r>
      <w:r>
        <w:rPr>
          <w:lang w:val="lv-LV"/>
        </w:rPr>
        <w:t xml:space="preserve"> lejupslīdi un stagnāciju. Ir jānovērš pastāvīgā IKP samazināšanās vairākās ES </w:t>
      </w:r>
      <w:r w:rsidR="009B237F">
        <w:rPr>
          <w:lang w:val="lv-LV"/>
        </w:rPr>
        <w:t>valstīs</w:t>
      </w:r>
      <w:r>
        <w:rPr>
          <w:lang w:val="lv-LV"/>
        </w:rPr>
        <w:t xml:space="preserve">. Lai pārvarētu ieilgušo stagnāciju </w:t>
      </w:r>
      <w:r w:rsidR="0054419B">
        <w:rPr>
          <w:lang w:val="lv-LV"/>
        </w:rPr>
        <w:t>Eiropas Savienībā</w:t>
      </w:r>
      <w:r>
        <w:rPr>
          <w:lang w:val="lv-LV"/>
        </w:rPr>
        <w:t xml:space="preserve"> kopumā, ir vajadzīg</w:t>
      </w:r>
      <w:r w:rsidR="00130050">
        <w:rPr>
          <w:lang w:val="lv-LV"/>
        </w:rPr>
        <w:t>s</w:t>
      </w:r>
      <w:r>
        <w:rPr>
          <w:lang w:val="lv-LV"/>
        </w:rPr>
        <w:t xml:space="preserve"> spēcīg</w:t>
      </w:r>
      <w:r w:rsidR="00130050">
        <w:rPr>
          <w:lang w:val="lv-LV"/>
        </w:rPr>
        <w:t>s</w:t>
      </w:r>
      <w:r>
        <w:rPr>
          <w:lang w:val="lv-LV"/>
        </w:rPr>
        <w:t xml:space="preserve"> atlabšana</w:t>
      </w:r>
      <w:r w:rsidR="00130050">
        <w:rPr>
          <w:lang w:val="lv-LV"/>
        </w:rPr>
        <w:t>s process</w:t>
      </w:r>
      <w:r>
        <w:rPr>
          <w:lang w:val="lv-LV"/>
        </w:rPr>
        <w:t>, k</w:t>
      </w:r>
      <w:r w:rsidR="001A46B0">
        <w:rPr>
          <w:lang w:val="lv-LV"/>
        </w:rPr>
        <w:t>uru</w:t>
      </w:r>
      <w:r>
        <w:rPr>
          <w:lang w:val="lv-LV"/>
        </w:rPr>
        <w:t xml:space="preserve"> balstītu stabils finanšu sektors, kas kalpo reālajai ekonomikai.  Tas ir veids, kā nodrošināt valstu </w:t>
      </w:r>
      <w:r w:rsidR="0054419B">
        <w:rPr>
          <w:lang w:val="lv-LV"/>
        </w:rPr>
        <w:t>finanšu ilgtspējīgu stabilitāti</w:t>
      </w:r>
      <w:r>
        <w:rPr>
          <w:lang w:val="lv-LV"/>
        </w:rPr>
        <w:t xml:space="preserve">. Valsts budžetu konsolidācijai jānotiek </w:t>
      </w:r>
      <w:r w:rsidR="001A46B0">
        <w:rPr>
          <w:lang w:val="lv-LV"/>
        </w:rPr>
        <w:t>stabilos</w:t>
      </w:r>
      <w:r w:rsidR="0054419B">
        <w:rPr>
          <w:lang w:val="lv-LV"/>
        </w:rPr>
        <w:t xml:space="preserve"> ekonomikas posm</w:t>
      </w:r>
      <w:r w:rsidR="001A46B0">
        <w:rPr>
          <w:lang w:val="lv-LV"/>
        </w:rPr>
        <w:t>os</w:t>
      </w:r>
      <w:r>
        <w:rPr>
          <w:lang w:val="lv-LV"/>
        </w:rPr>
        <w:t>, un tā jāveic ilgākā laika periodā. Tai jābūt sociāli taisnīgai un jāgarantē kvalit</w:t>
      </w:r>
      <w:r w:rsidR="0054419B">
        <w:rPr>
          <w:lang w:val="lv-LV"/>
        </w:rPr>
        <w:t>at</w:t>
      </w:r>
      <w:r>
        <w:rPr>
          <w:lang w:val="lv-LV"/>
        </w:rPr>
        <w:t xml:space="preserve">īvi publiskie pakalpojumi. Šo mērķi var sasniegt, </w:t>
      </w:r>
      <w:r w:rsidR="0054419B" w:rsidRPr="00130050">
        <w:rPr>
          <w:lang w:val="lv-LV"/>
        </w:rPr>
        <w:t>pieļaujot elastīgumu at</w:t>
      </w:r>
      <w:r w:rsidR="00C94A69" w:rsidRPr="00130050">
        <w:rPr>
          <w:lang w:val="lv-LV"/>
        </w:rPr>
        <w:t>tiecībā uz budžeta deficītu un/</w:t>
      </w:r>
      <w:r w:rsidR="0054419B" w:rsidRPr="00130050">
        <w:rPr>
          <w:lang w:val="lv-LV"/>
        </w:rPr>
        <w:t xml:space="preserve">vai </w:t>
      </w:r>
      <w:r w:rsidRPr="00130050">
        <w:rPr>
          <w:lang w:val="lv-LV"/>
        </w:rPr>
        <w:t>ra</w:t>
      </w:r>
      <w:r>
        <w:rPr>
          <w:lang w:val="lv-LV"/>
        </w:rPr>
        <w:t>dot iespēju nepakļaut produktīvas investīcijas Stabilitātes paktā noteiktajiem budžeta ierobežojumiem.</w:t>
      </w:r>
    </w:p>
    <w:p w:rsidR="00F96755" w:rsidRPr="002A600B" w:rsidRDefault="00F96755" w:rsidP="00F96755">
      <w:pPr>
        <w:rPr>
          <w:lang w:val="lv-LV"/>
        </w:rPr>
      </w:pPr>
    </w:p>
    <w:p w:rsidR="0054419B" w:rsidRPr="002A600B" w:rsidRDefault="0054419B" w:rsidP="00F96755">
      <w:pPr>
        <w:rPr>
          <w:lang w:val="lv-LV"/>
        </w:rPr>
      </w:pPr>
      <w:r w:rsidRPr="0054419B">
        <w:rPr>
          <w:i/>
          <w:lang w:val="lv-LV"/>
        </w:rPr>
        <w:t>ETUC</w:t>
      </w:r>
      <w:r>
        <w:rPr>
          <w:lang w:val="lv-LV"/>
        </w:rPr>
        <w:t xml:space="preserve"> ir pārliecināta, ka Eiropas Savienībai ir iespējas pārvarēt šo krīzi. </w:t>
      </w:r>
      <w:r w:rsidR="00130050">
        <w:rPr>
          <w:lang w:val="lv-LV"/>
        </w:rPr>
        <w:t>Tās</w:t>
      </w:r>
      <w:r>
        <w:rPr>
          <w:lang w:val="lv-LV"/>
        </w:rPr>
        <w:t xml:space="preserve"> potenciāls ir balstīts uz izglītotiem cilvēkiem, spēcīgu industriālo bāzi, </w:t>
      </w:r>
      <w:r w:rsidR="00E24E13">
        <w:rPr>
          <w:lang w:val="lv-LV"/>
        </w:rPr>
        <w:t>kvalitatīviem</w:t>
      </w:r>
      <w:r>
        <w:rPr>
          <w:lang w:val="lv-LV"/>
        </w:rPr>
        <w:t xml:space="preserve"> publiskā un privātā sektora pakalpojumiem, inovatīvām pētniecības un izglītības iestādēm, labi organizētām valsts iestāžu sistēmām, kultūras bagātību</w:t>
      </w:r>
      <w:r w:rsidR="00130050">
        <w:rPr>
          <w:lang w:val="lv-LV"/>
        </w:rPr>
        <w:t>,</w:t>
      </w:r>
      <w:r>
        <w:rPr>
          <w:lang w:val="lv-LV"/>
        </w:rPr>
        <w:t xml:space="preserve"> iekļaujošu </w:t>
      </w:r>
      <w:r w:rsidRPr="0059491E">
        <w:rPr>
          <w:lang w:val="lv-LV"/>
        </w:rPr>
        <w:t xml:space="preserve">un </w:t>
      </w:r>
      <w:r w:rsidRPr="008F3684">
        <w:rPr>
          <w:lang w:val="lv-LV"/>
        </w:rPr>
        <w:t>godīg</w:t>
      </w:r>
      <w:r w:rsidR="008F3684" w:rsidRPr="008F3684">
        <w:rPr>
          <w:lang w:val="lv-LV"/>
        </w:rPr>
        <w:t>u labklājības sadalījumu ES valstīs</w:t>
      </w:r>
      <w:r w:rsidR="008F3684">
        <w:rPr>
          <w:lang w:val="lv-LV"/>
        </w:rPr>
        <w:t xml:space="preserve"> un</w:t>
      </w:r>
      <w:r>
        <w:rPr>
          <w:lang w:val="lv-LV"/>
        </w:rPr>
        <w:t xml:space="preserve"> </w:t>
      </w:r>
      <w:r w:rsidR="008F3684">
        <w:rPr>
          <w:lang w:val="lv-LV"/>
        </w:rPr>
        <w:t>Ei</w:t>
      </w:r>
      <w:r>
        <w:rPr>
          <w:lang w:val="lv-LV"/>
        </w:rPr>
        <w:t>rozonu ar stabilu vienoto valūtu. Šo potenciālu ir jāizmanto, lai pārvarētu krīzi un radītu ieguvumu iedzīvotājiem. Diemžēl minētais potenciāls netiek attīstīts, bet gan drīzāk izšķiests. Eiropas Savienībai ir jāmobilizē spēki labākai, vienlīdzīgākai, labklājīg</w:t>
      </w:r>
      <w:r w:rsidR="008F3684">
        <w:rPr>
          <w:lang w:val="lv-LV"/>
        </w:rPr>
        <w:t>ākai</w:t>
      </w:r>
      <w:r>
        <w:rPr>
          <w:lang w:val="lv-LV"/>
        </w:rPr>
        <w:t>, demokrātiskai un mier</w:t>
      </w:r>
      <w:r w:rsidR="008F3684">
        <w:rPr>
          <w:lang w:val="lv-LV"/>
        </w:rPr>
        <w:t>pilnai</w:t>
      </w:r>
      <w:r>
        <w:rPr>
          <w:lang w:val="lv-LV"/>
        </w:rPr>
        <w:t xml:space="preserve"> nākotnei.</w:t>
      </w:r>
    </w:p>
    <w:p w:rsidR="00F96755" w:rsidRPr="002A600B" w:rsidRDefault="00F96755" w:rsidP="00F96755">
      <w:pPr>
        <w:rPr>
          <w:lang w:val="lv-LV"/>
        </w:rPr>
      </w:pPr>
    </w:p>
    <w:p w:rsidR="00F96755" w:rsidRPr="002A600B" w:rsidRDefault="008F3684" w:rsidP="00F96755">
      <w:pPr>
        <w:rPr>
          <w:lang w:val="lv-LV"/>
        </w:rPr>
      </w:pPr>
      <w:r>
        <w:rPr>
          <w:lang w:val="lv-LV"/>
        </w:rPr>
        <w:t xml:space="preserve">Lai to panāktu, ir vajadzīgi ieguldījumi enerģijas ražošanā un enerģijas patēriņa samazināšanā, lai mazinātu </w:t>
      </w:r>
      <w:r w:rsidR="00C94A69">
        <w:rPr>
          <w:lang w:val="lv-LV"/>
        </w:rPr>
        <w:t xml:space="preserve">gan </w:t>
      </w:r>
      <w:r>
        <w:rPr>
          <w:lang w:val="lv-LV"/>
        </w:rPr>
        <w:t xml:space="preserve">enerģētisko atkarību, </w:t>
      </w:r>
      <w:r w:rsidR="00C94A69">
        <w:rPr>
          <w:lang w:val="lv-LV"/>
        </w:rPr>
        <w:t>gan</w:t>
      </w:r>
      <w:r>
        <w:rPr>
          <w:lang w:val="lv-LV"/>
        </w:rPr>
        <w:t xml:space="preserve"> siltumnīcefekta gāzu emisijas. Tādēļ ir </w:t>
      </w:r>
      <w:r w:rsidR="00130050">
        <w:rPr>
          <w:lang w:val="lv-LV"/>
        </w:rPr>
        <w:t>nepieciešami</w:t>
      </w:r>
      <w:r>
        <w:rPr>
          <w:lang w:val="lv-LV"/>
        </w:rPr>
        <w:t xml:space="preserve"> ieguldījumi ilgtspējīgās nozarēs, it īpaši MVU, un pakalpojumos, apmācībā, izglītībā, pētniecībā un izstrādē, modernā transporta infrastruktūrā, ES reindustrializācijā, efektīvos privātā sektora pakalpojumos un augstas kvalitātes publiskos pakalpojumos.</w:t>
      </w:r>
      <w:r w:rsidR="00F96755" w:rsidRPr="002A600B">
        <w:rPr>
          <w:lang w:val="lv-LV"/>
        </w:rPr>
        <w:t xml:space="preserve"> </w:t>
      </w:r>
    </w:p>
    <w:p w:rsidR="00F96755" w:rsidRPr="002A600B" w:rsidRDefault="00F96755" w:rsidP="00F96755">
      <w:pPr>
        <w:rPr>
          <w:lang w:val="lv-LV"/>
        </w:rPr>
      </w:pPr>
    </w:p>
    <w:p w:rsidR="00F96755" w:rsidRPr="002A600B" w:rsidRDefault="00F96755" w:rsidP="00F96755">
      <w:pPr>
        <w:rPr>
          <w:lang w:val="lv-LV"/>
        </w:rPr>
      </w:pPr>
    </w:p>
    <w:p w:rsidR="008F3684" w:rsidRPr="002A600B" w:rsidRDefault="008F3684" w:rsidP="00F96755">
      <w:pPr>
        <w:rPr>
          <w:lang w:val="lv-LV"/>
        </w:rPr>
      </w:pPr>
    </w:p>
    <w:p w:rsidR="008F3684" w:rsidRPr="00A96C4E" w:rsidRDefault="008F3684" w:rsidP="00F96755">
      <w:pPr>
        <w:rPr>
          <w:lang w:val="lv-LV"/>
        </w:rPr>
      </w:pPr>
      <w:r w:rsidRPr="00A96C4E">
        <w:rPr>
          <w:lang w:val="lv-LV"/>
        </w:rPr>
        <w:t>Steidzami i</w:t>
      </w:r>
      <w:r w:rsidR="003D4CC8" w:rsidRPr="00A96C4E">
        <w:rPr>
          <w:lang w:val="lv-LV"/>
        </w:rPr>
        <w:t>r</w:t>
      </w:r>
      <w:r w:rsidRPr="00A96C4E">
        <w:rPr>
          <w:lang w:val="lv-LV"/>
        </w:rPr>
        <w:t xml:space="preserve"> jāuzņem jauns virziens uz nākotni, jāstabilizē tautsaimniecības vide</w:t>
      </w:r>
      <w:r w:rsidR="00C94A69" w:rsidRPr="00A96C4E">
        <w:rPr>
          <w:lang w:val="lv-LV"/>
        </w:rPr>
        <w:t>,</w:t>
      </w:r>
      <w:r w:rsidRPr="00A96C4E">
        <w:rPr>
          <w:lang w:val="lv-LV"/>
        </w:rPr>
        <w:t xml:space="preserve"> jārada 21. </w:t>
      </w:r>
      <w:r w:rsidR="003D4CC8" w:rsidRPr="00A96C4E">
        <w:rPr>
          <w:lang w:val="lv-LV"/>
        </w:rPr>
        <w:t>g</w:t>
      </w:r>
      <w:r w:rsidRPr="00A96C4E">
        <w:rPr>
          <w:lang w:val="lv-LV"/>
        </w:rPr>
        <w:t>adsimtam</w:t>
      </w:r>
      <w:r w:rsidR="003D4CC8" w:rsidRPr="00A96C4E">
        <w:rPr>
          <w:lang w:val="lv-LV"/>
        </w:rPr>
        <w:t xml:space="preserve"> atbilstošas darbavietas,</w:t>
      </w:r>
      <w:r w:rsidRPr="00A96C4E">
        <w:rPr>
          <w:lang w:val="lv-LV"/>
        </w:rPr>
        <w:t xml:space="preserve"> un jānodrošina, lai ikvienam būtu sasniedzama labklājīga dzīve. Eiropai ir vajadzīg</w:t>
      </w:r>
      <w:r w:rsidR="003D4CC8" w:rsidRPr="00A96C4E">
        <w:rPr>
          <w:lang w:val="lv-LV"/>
        </w:rPr>
        <w:t>a</w:t>
      </w:r>
      <w:r w:rsidRPr="00A96C4E">
        <w:rPr>
          <w:lang w:val="lv-LV"/>
        </w:rPr>
        <w:t xml:space="preserve"> ilgtermiņa atveseļošanas programma.</w:t>
      </w:r>
    </w:p>
    <w:p w:rsidR="00F96755" w:rsidRPr="00A96C4E" w:rsidRDefault="00F96755" w:rsidP="00F96755">
      <w:pPr>
        <w:rPr>
          <w:lang w:val="lv-LV"/>
        </w:rPr>
      </w:pPr>
    </w:p>
    <w:p w:rsidR="003D4CC8" w:rsidRPr="00A96C4E" w:rsidRDefault="003D4CC8" w:rsidP="003D4CC8">
      <w:pPr>
        <w:rPr>
          <w:lang w:val="lv-LV"/>
        </w:rPr>
      </w:pPr>
      <w:r w:rsidRPr="00A96C4E">
        <w:rPr>
          <w:lang w:val="lv-LV"/>
        </w:rPr>
        <w:t>Atveseļošanas plāns būtu ceļš uz ciešāk integrētu Eiropas Savienību</w:t>
      </w:r>
      <w:r w:rsidRPr="000443F9">
        <w:rPr>
          <w:lang w:val="lv-LV"/>
        </w:rPr>
        <w:t xml:space="preserve">, tas būtu izdevīgs visām valstīm un būtu solidaritātes akts attiecībā uz tām dalībvalstīm, kas nonākušas īpašās grūtībās; tā pamatā ir demokrātija, solidaritāte, stabilitāte un </w:t>
      </w:r>
      <w:r w:rsidR="000443F9" w:rsidRPr="000443F9">
        <w:rPr>
          <w:lang w:val="lv-LV"/>
        </w:rPr>
        <w:t>saskaņotība</w:t>
      </w:r>
      <w:r w:rsidRPr="00A96C4E">
        <w:rPr>
          <w:lang w:val="lv-LV"/>
        </w:rPr>
        <w:t>. Tas būtiski sekmētu valstu ekonomiku modernizāciju un produktivitātes uzlabošanu.</w:t>
      </w:r>
    </w:p>
    <w:p w:rsidR="003D4CC8" w:rsidRPr="00A96C4E" w:rsidRDefault="003D4CC8" w:rsidP="00F96755">
      <w:pPr>
        <w:rPr>
          <w:lang w:val="lv-LV"/>
        </w:rPr>
      </w:pPr>
    </w:p>
    <w:p w:rsidR="00F96755" w:rsidRPr="00A96C4E" w:rsidRDefault="00F96755" w:rsidP="00F96755">
      <w:pPr>
        <w:rPr>
          <w:lang w:val="lv-LV"/>
        </w:rPr>
      </w:pPr>
    </w:p>
    <w:p w:rsidR="00F96755" w:rsidRPr="00A96C4E" w:rsidRDefault="00983866" w:rsidP="00F96755">
      <w:pPr>
        <w:rPr>
          <w:rStyle w:val="BOLD"/>
          <w:lang w:val="lv-LV"/>
        </w:rPr>
      </w:pPr>
      <w:r w:rsidRPr="00A96C4E">
        <w:rPr>
          <w:rStyle w:val="BOLD"/>
          <w:lang w:val="lv-LV"/>
        </w:rPr>
        <w:t xml:space="preserve">Kopīgs darbs Eiropas Savienībā, lai nodrošinātu ilgtspējīgus ieguldījumus un </w:t>
      </w:r>
      <w:r w:rsidR="00B324DD">
        <w:rPr>
          <w:rStyle w:val="BOLD"/>
          <w:lang w:val="lv-LV"/>
        </w:rPr>
        <w:t>cienīgas</w:t>
      </w:r>
      <w:r w:rsidRPr="00A96C4E">
        <w:rPr>
          <w:rStyle w:val="BOLD"/>
          <w:lang w:val="lv-LV"/>
        </w:rPr>
        <w:t xml:space="preserve"> darbavietas</w:t>
      </w:r>
      <w:r w:rsidR="00F96755" w:rsidRPr="00A96C4E">
        <w:rPr>
          <w:rStyle w:val="BOLD"/>
          <w:lang w:val="lv-LV"/>
        </w:rPr>
        <w:t>.</w:t>
      </w:r>
    </w:p>
    <w:p w:rsidR="00F96755" w:rsidRPr="00A96C4E" w:rsidRDefault="00F96755" w:rsidP="00F96755">
      <w:pPr>
        <w:rPr>
          <w:lang w:val="lv-LV"/>
        </w:rPr>
      </w:pPr>
    </w:p>
    <w:p w:rsidR="007B6153" w:rsidRPr="00A96C4E" w:rsidRDefault="007B6153" w:rsidP="007B6153">
      <w:pPr>
        <w:rPr>
          <w:lang w:val="lv-LV"/>
        </w:rPr>
      </w:pPr>
    </w:p>
    <w:p w:rsidR="007B6153" w:rsidRPr="00A96C4E" w:rsidRDefault="007B6153" w:rsidP="007B6153">
      <w:pPr>
        <w:rPr>
          <w:lang w:val="lv-LV"/>
        </w:rPr>
      </w:pPr>
      <w:r w:rsidRPr="00A96C4E">
        <w:rPr>
          <w:lang w:val="lv-LV"/>
        </w:rPr>
        <w:t xml:space="preserve">Iekšējās devalvācijas politikas ir bijušas pieprasījumam un ieguldījumiem nelabvēlīgas; šādas politikas ir arī veicinājušas negodīgu konkurenci </w:t>
      </w:r>
      <w:r w:rsidRPr="000443F9">
        <w:rPr>
          <w:lang w:val="lv-LV"/>
        </w:rPr>
        <w:t xml:space="preserve">attiecībā uz darba samaksu, darba nosacījumiem un darba </w:t>
      </w:r>
      <w:r w:rsidR="00B324DD">
        <w:rPr>
          <w:lang w:val="lv-LV"/>
        </w:rPr>
        <w:t>likumdošanu</w:t>
      </w:r>
      <w:r w:rsidRPr="000443F9">
        <w:rPr>
          <w:lang w:val="lv-LV"/>
        </w:rPr>
        <w:t>. M</w:t>
      </w:r>
      <w:r w:rsidRPr="00A96C4E">
        <w:rPr>
          <w:lang w:val="lv-LV"/>
        </w:rPr>
        <w:t>ums ar pastiprinātas sadarbības palīdzību ir jānovērš minētās tendences.</w:t>
      </w:r>
    </w:p>
    <w:p w:rsidR="007B6153" w:rsidRPr="00A96C4E" w:rsidRDefault="007B6153" w:rsidP="00F96755">
      <w:pPr>
        <w:rPr>
          <w:lang w:val="lv-LV"/>
        </w:rPr>
      </w:pPr>
    </w:p>
    <w:p w:rsidR="00F96755" w:rsidRPr="00A96C4E" w:rsidRDefault="007B6153" w:rsidP="00F96755">
      <w:pPr>
        <w:rPr>
          <w:lang w:val="lv-LV"/>
        </w:rPr>
      </w:pPr>
      <w:r w:rsidRPr="00A96C4E">
        <w:rPr>
          <w:lang w:val="lv-LV"/>
        </w:rPr>
        <w:t xml:space="preserve">Plašāku sadarbības </w:t>
      </w:r>
      <w:r w:rsidR="00C94A69" w:rsidRPr="00A96C4E">
        <w:rPr>
          <w:lang w:val="lv-LV"/>
        </w:rPr>
        <w:t>tvērumu</w:t>
      </w:r>
      <w:r w:rsidRPr="00A96C4E">
        <w:rPr>
          <w:lang w:val="lv-LV"/>
        </w:rPr>
        <w:t xml:space="preserve"> nodrošinātu šādi pasākumi: </w:t>
      </w:r>
    </w:p>
    <w:p w:rsidR="00F96755" w:rsidRPr="00A96C4E" w:rsidRDefault="00F96755" w:rsidP="00F96755">
      <w:pPr>
        <w:rPr>
          <w:lang w:val="lv-LV"/>
        </w:rPr>
      </w:pPr>
    </w:p>
    <w:p w:rsidR="00F96755" w:rsidRPr="00A96C4E" w:rsidRDefault="007B6153" w:rsidP="00F96755">
      <w:pPr>
        <w:pStyle w:val="ListBullet"/>
        <w:rPr>
          <w:lang w:val="lv-LV"/>
        </w:rPr>
      </w:pPr>
      <w:r w:rsidRPr="00A96C4E">
        <w:rPr>
          <w:lang w:val="lv-LV"/>
        </w:rPr>
        <w:t>sadarbība jautājumos, kas saistīti ar izvairīšanos no nodokļu maksāšanas, krāpšanu un nodokļu oāzēm, nodrošinot visaptverošu informācijas apmaiņu un sadarbību starp valstu nodokļu iestādēm;</w:t>
      </w:r>
    </w:p>
    <w:p w:rsidR="00F96755" w:rsidRPr="00A96C4E" w:rsidRDefault="007B6153" w:rsidP="00F96755">
      <w:pPr>
        <w:pStyle w:val="ListBullet"/>
        <w:rPr>
          <w:lang w:val="lv-LV"/>
        </w:rPr>
      </w:pPr>
      <w:r w:rsidRPr="00A96C4E">
        <w:rPr>
          <w:lang w:val="lv-LV"/>
        </w:rPr>
        <w:t>finanšu tirgu reforma, lai atgūtu ES ekonomikas līdzsvaru</w:t>
      </w:r>
      <w:r w:rsidR="00F96755" w:rsidRPr="00A96C4E">
        <w:rPr>
          <w:lang w:val="lv-LV"/>
        </w:rPr>
        <w:t>;</w:t>
      </w:r>
    </w:p>
    <w:p w:rsidR="00F96755" w:rsidRPr="00A96C4E" w:rsidRDefault="007B6153" w:rsidP="00F96755">
      <w:pPr>
        <w:pStyle w:val="ListBullet"/>
        <w:rPr>
          <w:lang w:val="lv-LV"/>
        </w:rPr>
      </w:pPr>
      <w:r w:rsidRPr="00A96C4E">
        <w:rPr>
          <w:lang w:val="lv-LV"/>
        </w:rPr>
        <w:t xml:space="preserve">ciešāka sadarbība starp valstu iestādēm, civildienestiem un publiskajiem dienestiem, lai sekmētu </w:t>
      </w:r>
      <w:r w:rsidR="00D3405F">
        <w:rPr>
          <w:lang w:val="lv-LV"/>
        </w:rPr>
        <w:t xml:space="preserve">augstas kvalitātes </w:t>
      </w:r>
      <w:r w:rsidRPr="00A96C4E">
        <w:rPr>
          <w:lang w:val="lv-LV"/>
        </w:rPr>
        <w:t xml:space="preserve">publiskā sektora </w:t>
      </w:r>
      <w:r w:rsidR="00D3405F">
        <w:rPr>
          <w:lang w:val="lv-LV"/>
        </w:rPr>
        <w:t xml:space="preserve">(sabiedriskos) pakalpojumus </w:t>
      </w:r>
      <w:r w:rsidRPr="00A96C4E">
        <w:rPr>
          <w:lang w:val="lv-LV"/>
        </w:rPr>
        <w:t>ilgtermiņā</w:t>
      </w:r>
      <w:r w:rsidR="00F96755" w:rsidRPr="00A96C4E">
        <w:rPr>
          <w:lang w:val="lv-LV"/>
        </w:rPr>
        <w:t>;</w:t>
      </w:r>
    </w:p>
    <w:p w:rsidR="00F96755" w:rsidRPr="00A96C4E" w:rsidRDefault="00B04444" w:rsidP="00F96755">
      <w:pPr>
        <w:pStyle w:val="ListBullet"/>
        <w:rPr>
          <w:lang w:val="lv-LV"/>
        </w:rPr>
      </w:pPr>
      <w:r w:rsidRPr="00A96C4E">
        <w:rPr>
          <w:lang w:val="lv-LV"/>
        </w:rPr>
        <w:t>sociālo partneru iesaistīšana sociālā dialoga, darba koplīgumu un strādājošo līdzdalības  stiprināšanā, it īpaši attiecībā uz saimnieciskās pārvaldības procesu valst</w:t>
      </w:r>
      <w:r w:rsidR="00C94A69" w:rsidRPr="00A96C4E">
        <w:rPr>
          <w:lang w:val="lv-LV"/>
        </w:rPr>
        <w:t>u</w:t>
      </w:r>
      <w:r w:rsidRPr="00A96C4E">
        <w:rPr>
          <w:lang w:val="lv-LV"/>
        </w:rPr>
        <w:t xml:space="preserve"> un ES līmenī, izglītību un apmācību, kā arī darba tirgus reformu;</w:t>
      </w:r>
    </w:p>
    <w:p w:rsidR="00F96755" w:rsidRPr="00A96C4E" w:rsidRDefault="00B04444" w:rsidP="00F96755">
      <w:pPr>
        <w:pStyle w:val="ListBullet"/>
        <w:rPr>
          <w:lang w:val="lv-LV"/>
        </w:rPr>
      </w:pPr>
      <w:r w:rsidRPr="00A96C4E">
        <w:rPr>
          <w:lang w:val="lv-LV"/>
        </w:rPr>
        <w:t>Eiropas sociālo standartu popularizēšana, ievērošana un paplašināšana, lai apkarotu apšaubām</w:t>
      </w:r>
      <w:r w:rsidR="009A55AB">
        <w:rPr>
          <w:lang w:val="lv-LV"/>
        </w:rPr>
        <w:t>u</w:t>
      </w:r>
      <w:r w:rsidRPr="00A96C4E">
        <w:rPr>
          <w:lang w:val="lv-LV"/>
        </w:rPr>
        <w:t>s un bīstam</w:t>
      </w:r>
      <w:r w:rsidR="009A55AB">
        <w:rPr>
          <w:lang w:val="lv-LV"/>
        </w:rPr>
        <w:t>u</w:t>
      </w:r>
      <w:r w:rsidRPr="00A96C4E">
        <w:rPr>
          <w:lang w:val="lv-LV"/>
        </w:rPr>
        <w:t>s darb</w:t>
      </w:r>
      <w:r w:rsidR="009A55AB">
        <w:rPr>
          <w:lang w:val="lv-LV"/>
        </w:rPr>
        <w:t>u</w:t>
      </w:r>
      <w:r w:rsidRPr="00A96C4E">
        <w:rPr>
          <w:lang w:val="lv-LV"/>
        </w:rPr>
        <w:t>s</w:t>
      </w:r>
      <w:r w:rsidR="009A55AB">
        <w:rPr>
          <w:lang w:val="lv-LV"/>
        </w:rPr>
        <w:t>,</w:t>
      </w:r>
      <w:r w:rsidRPr="00A96C4E">
        <w:rPr>
          <w:lang w:val="lv-LV"/>
        </w:rPr>
        <w:t xml:space="preserve"> un veicinātu kvalitatīv</w:t>
      </w:r>
      <w:r w:rsidR="009A55AB">
        <w:rPr>
          <w:lang w:val="lv-LV"/>
        </w:rPr>
        <w:t>u</w:t>
      </w:r>
      <w:r w:rsidRPr="00A96C4E">
        <w:rPr>
          <w:lang w:val="lv-LV"/>
        </w:rPr>
        <w:t xml:space="preserve"> un </w:t>
      </w:r>
      <w:r w:rsidR="009A55AB">
        <w:rPr>
          <w:lang w:val="lv-LV"/>
        </w:rPr>
        <w:t>cienīgu</w:t>
      </w:r>
      <w:r w:rsidRPr="00A96C4E">
        <w:rPr>
          <w:lang w:val="lv-LV"/>
        </w:rPr>
        <w:t xml:space="preserve"> darb</w:t>
      </w:r>
      <w:r w:rsidR="009A55AB">
        <w:rPr>
          <w:lang w:val="lv-LV"/>
        </w:rPr>
        <w:t>u</w:t>
      </w:r>
      <w:r w:rsidR="00C94A69" w:rsidRPr="00A96C4E">
        <w:rPr>
          <w:lang w:val="lv-LV"/>
        </w:rPr>
        <w:t>.</w:t>
      </w:r>
    </w:p>
    <w:p w:rsidR="00F96755" w:rsidRPr="00A96C4E" w:rsidRDefault="00F96755" w:rsidP="00F96755">
      <w:pPr>
        <w:rPr>
          <w:lang w:val="lv-LV"/>
        </w:rPr>
      </w:pPr>
    </w:p>
    <w:p w:rsidR="00B04444" w:rsidRPr="005779DE" w:rsidRDefault="00B04444" w:rsidP="00F96755">
      <w:pPr>
        <w:rPr>
          <w:lang w:val="lv-LV"/>
        </w:rPr>
      </w:pPr>
      <w:r w:rsidRPr="00A96C4E">
        <w:rPr>
          <w:lang w:val="lv-LV"/>
        </w:rPr>
        <w:t xml:space="preserve">Dažām grūtībās nonākušām valstīm ir vajadzīgi papildu pasākumi, lai stabilizētu ekonomiku un izveidotu noturīgas un spēcīgas valsts struktūras. Esošo divpusējo un daudzpusējo aizdevuma līgumu termiņu pagarināšana, it īpaši attiecībā uz jaunām ilgtermiņa investīcijām, un būtiska procentu likmju  samazināšana nodrošinātu saimnieciskās attīstības stabilitāti. Šajā kontekstā eiroobligāciju ieviešana var palīdzēt aizsargāt grūtībās nonākušās valstis pret nekontrolētu spekulāciju un būtu efektīvs instruments produktīvām investīcijām. </w:t>
      </w:r>
      <w:r w:rsidRPr="00D3405F">
        <w:rPr>
          <w:lang w:val="lv-LV"/>
        </w:rPr>
        <w:t xml:space="preserve">Tas nozīmē arī, ka būtu jāpārskata ECB pilnvaras, piešķirot šai </w:t>
      </w:r>
      <w:r w:rsidRPr="005779DE">
        <w:rPr>
          <w:lang w:val="lv-LV"/>
        </w:rPr>
        <w:t xml:space="preserve">institūcijai </w:t>
      </w:r>
      <w:r w:rsidR="00D3405F" w:rsidRPr="005779DE">
        <w:rPr>
          <w:lang w:val="lv-LV"/>
        </w:rPr>
        <w:t xml:space="preserve">galējās iespējas </w:t>
      </w:r>
      <w:r w:rsidRPr="005779DE">
        <w:rPr>
          <w:lang w:val="lv-LV"/>
        </w:rPr>
        <w:t>aizdevēja lomu</w:t>
      </w:r>
      <w:r w:rsidR="00D3405F" w:rsidRPr="005779DE">
        <w:rPr>
          <w:lang w:val="lv-LV"/>
        </w:rPr>
        <w:t>.</w:t>
      </w:r>
    </w:p>
    <w:p w:rsidR="00F96755" w:rsidRPr="005779DE" w:rsidRDefault="00F96755" w:rsidP="00F96755">
      <w:pPr>
        <w:rPr>
          <w:lang w:val="lv-LV"/>
        </w:rPr>
      </w:pPr>
    </w:p>
    <w:p w:rsidR="00B42E81" w:rsidRPr="00A96C4E" w:rsidRDefault="00B42E81" w:rsidP="00F96755">
      <w:pPr>
        <w:rPr>
          <w:lang w:val="lv-LV"/>
        </w:rPr>
      </w:pPr>
      <w:r w:rsidRPr="00A96C4E">
        <w:rPr>
          <w:lang w:val="lv-LV"/>
        </w:rPr>
        <w:t xml:space="preserve">ES budžetā, konkrēti – struktūrfondos - būtu jāparedz atbalsts ilgtspējīgai izaugsmei, ieguldījumiem un </w:t>
      </w:r>
      <w:r w:rsidR="00B324DD">
        <w:rPr>
          <w:lang w:val="lv-LV"/>
        </w:rPr>
        <w:t>cienīgu</w:t>
      </w:r>
      <w:r w:rsidRPr="00A96C4E">
        <w:rPr>
          <w:lang w:val="lv-LV"/>
        </w:rPr>
        <w:t xml:space="preserve"> darbavietu radīšanai. Gan neiztērētie resursi, gan jaunie struktūrfondi būtu jāizmanto, lai sekmētu šajā plānā paredzētās prioritātes atbilstoši Stratēģijas "ES 2020" mērķiem. Jāatvieglo struktūrfondu izmantošana, vienkāršojot procedūras</w:t>
      </w:r>
      <w:r w:rsidR="00C94A69" w:rsidRPr="00B324DD">
        <w:rPr>
          <w:lang w:val="lv-LV"/>
        </w:rPr>
        <w:t>,</w:t>
      </w:r>
      <w:r w:rsidRPr="00B324DD">
        <w:rPr>
          <w:lang w:val="lv-LV"/>
        </w:rPr>
        <w:t xml:space="preserve"> un </w:t>
      </w:r>
      <w:r w:rsidR="00C94A69" w:rsidRPr="00B324DD">
        <w:rPr>
          <w:lang w:val="lv-LV"/>
        </w:rPr>
        <w:t xml:space="preserve">no mērķiem, kas izvirzīti budžeta deficīta un parādu jomā, jāsvītro </w:t>
      </w:r>
      <w:r w:rsidRPr="00B324DD">
        <w:rPr>
          <w:lang w:val="lv-LV"/>
        </w:rPr>
        <w:t xml:space="preserve"> līdzfinansēšanas resurs</w:t>
      </w:r>
      <w:r w:rsidR="00C94A69" w:rsidRPr="00B324DD">
        <w:rPr>
          <w:lang w:val="lv-LV"/>
        </w:rPr>
        <w:t>i</w:t>
      </w:r>
      <w:r w:rsidRPr="00B324DD">
        <w:rPr>
          <w:lang w:val="lv-LV"/>
        </w:rPr>
        <w:t>.</w:t>
      </w:r>
    </w:p>
    <w:p w:rsidR="00F96755" w:rsidRPr="00A96C4E" w:rsidRDefault="00F96755" w:rsidP="00F96755">
      <w:pPr>
        <w:rPr>
          <w:lang w:val="lv-LV"/>
        </w:rPr>
      </w:pPr>
    </w:p>
    <w:p w:rsidR="00B42E81" w:rsidRPr="00A96C4E" w:rsidRDefault="00B42E81" w:rsidP="00F96755">
      <w:pPr>
        <w:rPr>
          <w:rStyle w:val="BOLD"/>
          <w:lang w:val="lv-LV"/>
        </w:rPr>
      </w:pPr>
    </w:p>
    <w:p w:rsidR="00B42E81" w:rsidRPr="00A96C4E" w:rsidRDefault="00B42E81" w:rsidP="00F96755">
      <w:pPr>
        <w:rPr>
          <w:rStyle w:val="BOLD"/>
          <w:lang w:val="lv-LV"/>
        </w:rPr>
      </w:pPr>
      <w:r w:rsidRPr="00A96C4E">
        <w:rPr>
          <w:rStyle w:val="BOLD"/>
          <w:lang w:val="lv-LV"/>
        </w:rPr>
        <w:t>Eiropas Sav</w:t>
      </w:r>
      <w:r w:rsidR="007F7ACD">
        <w:rPr>
          <w:rStyle w:val="BOLD"/>
          <w:lang w:val="lv-LV"/>
        </w:rPr>
        <w:t xml:space="preserve">ienībai vajadzīgs </w:t>
      </w:r>
      <w:r w:rsidR="002A600B">
        <w:rPr>
          <w:rStyle w:val="BOLD"/>
          <w:lang w:val="lv-LV"/>
        </w:rPr>
        <w:t>atveseļošanas</w:t>
      </w:r>
      <w:r w:rsidR="007F7ACD">
        <w:rPr>
          <w:rStyle w:val="BOLD"/>
          <w:lang w:val="lv-LV"/>
        </w:rPr>
        <w:t xml:space="preserve"> plā</w:t>
      </w:r>
      <w:r w:rsidRPr="00A96C4E">
        <w:rPr>
          <w:rStyle w:val="BOLD"/>
          <w:lang w:val="lv-LV"/>
        </w:rPr>
        <w:t xml:space="preserve">ns, lai nodrošinātu ilgtspējīgu izaugsmi un </w:t>
      </w:r>
      <w:r w:rsidR="00B324DD">
        <w:rPr>
          <w:rStyle w:val="BOLD"/>
          <w:lang w:val="lv-LV"/>
        </w:rPr>
        <w:t>cienīgas</w:t>
      </w:r>
      <w:r w:rsidRPr="00A96C4E">
        <w:rPr>
          <w:rStyle w:val="BOLD"/>
          <w:lang w:val="lv-LV"/>
        </w:rPr>
        <w:t xml:space="preserve"> darbavietas</w:t>
      </w:r>
    </w:p>
    <w:p w:rsidR="00F96755" w:rsidRPr="00A96C4E" w:rsidRDefault="00F96755" w:rsidP="00F96755">
      <w:pPr>
        <w:rPr>
          <w:lang w:val="lv-LV"/>
        </w:rPr>
      </w:pPr>
    </w:p>
    <w:p w:rsidR="00F96755" w:rsidRPr="00A96C4E" w:rsidRDefault="000F361F" w:rsidP="00F96755">
      <w:pPr>
        <w:rPr>
          <w:lang w:val="lv-LV"/>
        </w:rPr>
      </w:pPr>
      <w:r w:rsidRPr="00A96C4E">
        <w:rPr>
          <w:lang w:val="lv-LV"/>
        </w:rPr>
        <w:t xml:space="preserve">Īstermiņa stimuli, kas tika atbalstīti 2009. gadā, vairs nav pietiekami. Lai pārvarētu samilzušās grūtības un atšķirības Eiropas Savienībā, mums nepieciešama ilgtermiņa </w:t>
      </w:r>
      <w:r w:rsidRPr="00A96C4E">
        <w:rPr>
          <w:lang w:val="lv-LV"/>
        </w:rPr>
        <w:lastRenderedPageBreak/>
        <w:t>perspektīva. Mēs ierosinām izvirzīt mērķi: 10 gadu ilgā laika periodā katru gadu investēt papildus 2% no ES IKP.</w:t>
      </w:r>
    </w:p>
    <w:p w:rsidR="00F96755" w:rsidRPr="00A96C4E" w:rsidRDefault="00F96755" w:rsidP="00F96755">
      <w:pPr>
        <w:rPr>
          <w:lang w:val="lv-LV"/>
        </w:rPr>
      </w:pPr>
    </w:p>
    <w:p w:rsidR="00F96755" w:rsidRPr="00A96C4E" w:rsidRDefault="002A600B" w:rsidP="00F96755">
      <w:pPr>
        <w:rPr>
          <w:lang w:val="lv-LV"/>
        </w:rPr>
      </w:pPr>
      <w:r>
        <w:rPr>
          <w:lang w:val="lv-LV"/>
        </w:rPr>
        <w:t>Plāna mērķi ir šādi</w:t>
      </w:r>
      <w:r w:rsidR="00F96755" w:rsidRPr="00A96C4E">
        <w:rPr>
          <w:lang w:val="lv-LV"/>
        </w:rPr>
        <w:t xml:space="preserve">:  </w:t>
      </w:r>
    </w:p>
    <w:p w:rsidR="00F96755" w:rsidRPr="00A96C4E" w:rsidRDefault="00F96755" w:rsidP="00F96755">
      <w:pPr>
        <w:rPr>
          <w:lang w:val="lv-LV"/>
        </w:rPr>
      </w:pPr>
    </w:p>
    <w:p w:rsidR="00F96755" w:rsidRPr="00A96C4E" w:rsidRDefault="000F361F" w:rsidP="00F96755">
      <w:pPr>
        <w:pStyle w:val="ListBullet"/>
        <w:rPr>
          <w:lang w:val="lv-LV"/>
        </w:rPr>
      </w:pPr>
      <w:r w:rsidRPr="00A96C4E">
        <w:rPr>
          <w:lang w:val="lv-LV"/>
        </w:rPr>
        <w:t xml:space="preserve">nodrošināt labklājību, kā arī pietiekami daudz </w:t>
      </w:r>
      <w:r w:rsidR="00EE7260">
        <w:rPr>
          <w:lang w:val="lv-LV"/>
        </w:rPr>
        <w:t>cienīgu</w:t>
      </w:r>
      <w:r w:rsidRPr="00A96C4E">
        <w:rPr>
          <w:lang w:val="lv-LV"/>
        </w:rPr>
        <w:t xml:space="preserve"> un </w:t>
      </w:r>
      <w:r w:rsidR="00EE7260">
        <w:rPr>
          <w:lang w:val="lv-LV"/>
        </w:rPr>
        <w:t xml:space="preserve">augsti </w:t>
      </w:r>
      <w:r w:rsidRPr="00A96C4E">
        <w:rPr>
          <w:lang w:val="lv-LV"/>
        </w:rPr>
        <w:t>kvalitatīvu darbavietu ar nākotnes perspektīvu, it īpaši jauniešiem;</w:t>
      </w:r>
    </w:p>
    <w:p w:rsidR="00F96755" w:rsidRPr="00EE7260" w:rsidRDefault="002A600B" w:rsidP="00F96755">
      <w:pPr>
        <w:pStyle w:val="ListBullet"/>
        <w:rPr>
          <w:lang w:val="lv-LV"/>
        </w:rPr>
      </w:pPr>
      <w:r w:rsidRPr="00EE7260">
        <w:rPr>
          <w:lang w:val="lv-LV"/>
        </w:rPr>
        <w:t>plānam jābūt ilgtspējīgam,</w:t>
      </w:r>
      <w:r w:rsidR="007F7ACD" w:rsidRPr="00EE7260">
        <w:rPr>
          <w:lang w:val="lv-LV"/>
        </w:rPr>
        <w:t xml:space="preserve"> izstrādātam tā, lai būtu iespējams saglabāt Eiropas sabiedrības kohēziju, </w:t>
      </w:r>
      <w:r w:rsidRPr="00EE7260">
        <w:rPr>
          <w:lang w:val="lv-LV"/>
        </w:rPr>
        <w:t>un pielāgotam</w:t>
      </w:r>
      <w:r w:rsidR="007F7ACD" w:rsidRPr="00EE7260">
        <w:rPr>
          <w:lang w:val="lv-LV"/>
        </w:rPr>
        <w:t xml:space="preserve"> ekoloģiskajiem, sociālajiem un demogrāfiskajiem izaicinājumiem</w:t>
      </w:r>
      <w:r w:rsidR="00F96755" w:rsidRPr="00EE7260">
        <w:rPr>
          <w:lang w:val="lv-LV"/>
        </w:rPr>
        <w:t xml:space="preserve">; </w:t>
      </w:r>
    </w:p>
    <w:p w:rsidR="00F96755" w:rsidRPr="00EE7260" w:rsidRDefault="007F7ACD" w:rsidP="00F96755">
      <w:pPr>
        <w:pStyle w:val="ListBullet"/>
        <w:rPr>
          <w:lang w:val="lv-LV"/>
        </w:rPr>
      </w:pPr>
      <w:r w:rsidRPr="00EE7260">
        <w:rPr>
          <w:lang w:val="lv-LV"/>
        </w:rPr>
        <w:t>tam jābūt kontrolētam demokrātiski</w:t>
      </w:r>
      <w:r w:rsidR="00F96755" w:rsidRPr="00EE7260">
        <w:rPr>
          <w:lang w:val="lv-LV"/>
        </w:rPr>
        <w:t>;</w:t>
      </w:r>
    </w:p>
    <w:p w:rsidR="00F96755" w:rsidRPr="00EE7260" w:rsidRDefault="007F7ACD" w:rsidP="00F96755">
      <w:pPr>
        <w:pStyle w:val="ListBullet"/>
        <w:rPr>
          <w:lang w:val="lv-LV"/>
        </w:rPr>
      </w:pPr>
      <w:r w:rsidRPr="00EE7260">
        <w:rPr>
          <w:lang w:val="lv-LV"/>
        </w:rPr>
        <w:t xml:space="preserve">tas jāizvērš kā </w:t>
      </w:r>
      <w:r w:rsidR="00EE7260" w:rsidRPr="00EE7260">
        <w:rPr>
          <w:lang w:val="lv-LV"/>
        </w:rPr>
        <w:t xml:space="preserve">visas </w:t>
      </w:r>
      <w:r w:rsidRPr="00EE7260">
        <w:rPr>
          <w:lang w:val="lv-LV"/>
        </w:rPr>
        <w:t>Eiropas līmeņa pārvalstu projekts, nevis kā valsts līmeņa veicinošu pasākumu kopums vai Eiropas valstu investīciju programma</w:t>
      </w:r>
      <w:r w:rsidR="00F96755" w:rsidRPr="00EE7260">
        <w:rPr>
          <w:lang w:val="lv-LV"/>
        </w:rPr>
        <w:t xml:space="preserve">;  </w:t>
      </w:r>
    </w:p>
    <w:p w:rsidR="00F96755" w:rsidRPr="00EE7260" w:rsidRDefault="007F7ACD" w:rsidP="00F96755">
      <w:pPr>
        <w:pStyle w:val="ListBullet"/>
        <w:rPr>
          <w:lang w:val="lv-LV"/>
        </w:rPr>
      </w:pPr>
      <w:r w:rsidRPr="00EE7260">
        <w:rPr>
          <w:lang w:val="lv-LV"/>
        </w:rPr>
        <w:t>īstermiņā nepieciešamos pasākumus iekļaut ilgtermiņa problēmjautājumu risināšanā, un turpināt tos īstenot pat ekonomikas uzplaukuma periodā</w:t>
      </w:r>
      <w:r w:rsidR="00F96755" w:rsidRPr="00EE7260">
        <w:rPr>
          <w:lang w:val="lv-LV"/>
        </w:rPr>
        <w:t xml:space="preserve">; </w:t>
      </w:r>
    </w:p>
    <w:p w:rsidR="00F96755" w:rsidRPr="00EE7260" w:rsidRDefault="007F7ACD" w:rsidP="00F96755">
      <w:pPr>
        <w:pStyle w:val="ListBullet"/>
        <w:rPr>
          <w:lang w:val="lv-LV"/>
        </w:rPr>
      </w:pPr>
      <w:r w:rsidRPr="00EE7260">
        <w:rPr>
          <w:lang w:val="lv-LV"/>
        </w:rPr>
        <w:t xml:space="preserve">izstrādāt tirgus noteikumus un </w:t>
      </w:r>
      <w:r w:rsidR="00CF407F" w:rsidRPr="00EE7260">
        <w:rPr>
          <w:lang w:val="lv-LV"/>
        </w:rPr>
        <w:t>noteikt politikas ievirzes, tādējādi novirzot privātus ieguldījumus inovatīvos projektos ar nākotnes perspektīvu</w:t>
      </w:r>
      <w:r w:rsidR="00F96755" w:rsidRPr="00EE7260">
        <w:rPr>
          <w:lang w:val="lv-LV"/>
        </w:rPr>
        <w:t xml:space="preserve">; </w:t>
      </w:r>
    </w:p>
    <w:p w:rsidR="00F96755" w:rsidRPr="00EE7260" w:rsidRDefault="000F7274" w:rsidP="00F96755">
      <w:pPr>
        <w:pStyle w:val="ListBullet"/>
        <w:rPr>
          <w:lang w:val="lv-LV"/>
        </w:rPr>
      </w:pPr>
      <w:r w:rsidRPr="00EE7260">
        <w:rPr>
          <w:lang w:val="lv-LV"/>
        </w:rPr>
        <w:t xml:space="preserve">nodrošināt stingru finansējumu, vienlaikus </w:t>
      </w:r>
      <w:r w:rsidR="002A600B" w:rsidRPr="00EE7260">
        <w:rPr>
          <w:lang w:val="lv-LV"/>
        </w:rPr>
        <w:t>dodot</w:t>
      </w:r>
      <w:r w:rsidRPr="00EE7260">
        <w:rPr>
          <w:lang w:val="lv-LV"/>
        </w:rPr>
        <w:t xml:space="preserve"> Eiropas valstīm iespēju radīt nodokļu ienākumu, kas nepieciešams sabiedrisko pakalpojumu sniegšanai un valsts parāda samazināšanai</w:t>
      </w:r>
      <w:r w:rsidR="00F96755" w:rsidRPr="00EE7260">
        <w:rPr>
          <w:lang w:val="lv-LV"/>
        </w:rPr>
        <w:t>;</w:t>
      </w:r>
    </w:p>
    <w:p w:rsidR="00F96755" w:rsidRPr="00EE7260" w:rsidRDefault="000F7274" w:rsidP="00F96755">
      <w:pPr>
        <w:pStyle w:val="ListBullet"/>
        <w:rPr>
          <w:lang w:val="lv-LV"/>
        </w:rPr>
      </w:pPr>
      <w:r w:rsidRPr="00EE7260">
        <w:rPr>
          <w:lang w:val="lv-LV"/>
        </w:rPr>
        <w:t>sekmēt ienākuma pārdali, lai mazinātu nevienlīdzību un apkarotu nabadzību gan valstu, gan Eiropas līmenī</w:t>
      </w:r>
      <w:r w:rsidR="00F96755" w:rsidRPr="00EE7260">
        <w:rPr>
          <w:lang w:val="lv-LV"/>
        </w:rPr>
        <w:t xml:space="preserve">;  </w:t>
      </w:r>
    </w:p>
    <w:p w:rsidR="00F96755" w:rsidRPr="00EE7260" w:rsidRDefault="00586007" w:rsidP="00F96755">
      <w:pPr>
        <w:pStyle w:val="ListBullet"/>
        <w:rPr>
          <w:lang w:val="lv-LV"/>
        </w:rPr>
      </w:pPr>
      <w:r w:rsidRPr="00EE7260">
        <w:rPr>
          <w:lang w:val="lv-LV"/>
        </w:rPr>
        <w:t xml:space="preserve">plānam jādarbojas līdztekus nodokļu politikai, kas sekmētu tādus ieguldījumus, </w:t>
      </w:r>
      <w:r w:rsidR="00EE7260" w:rsidRPr="00EE7260">
        <w:rPr>
          <w:lang w:val="lv-LV"/>
        </w:rPr>
        <w:t xml:space="preserve">kas veicina izaugsmi augsti </w:t>
      </w:r>
      <w:r w:rsidRPr="00EE7260">
        <w:rPr>
          <w:lang w:val="lv-LV"/>
        </w:rPr>
        <w:t>kvalitatīv</w:t>
      </w:r>
      <w:r w:rsidR="00EE7260" w:rsidRPr="00EE7260">
        <w:rPr>
          <w:lang w:val="lv-LV"/>
        </w:rPr>
        <w:t>ā</w:t>
      </w:r>
      <w:r w:rsidRPr="00EE7260">
        <w:rPr>
          <w:lang w:val="lv-LV"/>
        </w:rPr>
        <w:t xml:space="preserve"> nodarbinātīb</w:t>
      </w:r>
      <w:r w:rsidR="00EE7260" w:rsidRPr="00EE7260">
        <w:rPr>
          <w:lang w:val="lv-LV"/>
        </w:rPr>
        <w:t>ā</w:t>
      </w:r>
      <w:r w:rsidRPr="00EE7260">
        <w:rPr>
          <w:lang w:val="lv-LV"/>
        </w:rPr>
        <w:t xml:space="preserve"> un mudina uzņēmumus īstenot sociāli atbildīgu darbību. </w:t>
      </w:r>
    </w:p>
    <w:p w:rsidR="00F96755" w:rsidRPr="00A96C4E" w:rsidRDefault="00F96755" w:rsidP="00F96755">
      <w:pPr>
        <w:rPr>
          <w:lang w:val="lv-LV"/>
        </w:rPr>
      </w:pPr>
    </w:p>
    <w:p w:rsidR="00F96755" w:rsidRPr="00A96C4E" w:rsidRDefault="000F361F" w:rsidP="00F96755">
      <w:pPr>
        <w:rPr>
          <w:lang w:val="lv-LV"/>
        </w:rPr>
      </w:pPr>
      <w:r w:rsidRPr="00A96C4E">
        <w:rPr>
          <w:lang w:val="lv-LV"/>
        </w:rPr>
        <w:t>Bagātajām un ekonomiski spēcīgākajām valstīm būs jāiegulda nākotnes investīciju finansēšanā vairāk nekā vājāko valstu grupām</w:t>
      </w:r>
      <w:r w:rsidR="00586007">
        <w:rPr>
          <w:lang w:val="lv-LV"/>
        </w:rPr>
        <w:t>.</w:t>
      </w:r>
    </w:p>
    <w:p w:rsidR="00F96755" w:rsidRPr="00A96C4E" w:rsidRDefault="00F96755" w:rsidP="00F96755">
      <w:pPr>
        <w:rPr>
          <w:lang w:val="lv-LV"/>
        </w:rPr>
      </w:pPr>
    </w:p>
    <w:p w:rsidR="00F96755" w:rsidRPr="00A96C4E" w:rsidRDefault="000F361F" w:rsidP="00F96755">
      <w:pPr>
        <w:rPr>
          <w:lang w:val="lv-LV"/>
        </w:rPr>
      </w:pPr>
      <w:r w:rsidRPr="00A96C4E">
        <w:rPr>
          <w:lang w:val="lv-LV"/>
        </w:rPr>
        <w:t>Šādam plānam jābūt atvērtam ikvienai ES dalībvalstij, taču investīcijas tiktu novirzītas tikai tām valstīm, kas dod ieguldījumu šā plāna īstenošanā.</w:t>
      </w:r>
    </w:p>
    <w:p w:rsidR="00F96755" w:rsidRPr="00A96C4E" w:rsidRDefault="00F96755" w:rsidP="00F96755">
      <w:pPr>
        <w:rPr>
          <w:lang w:val="lv-LV"/>
        </w:rPr>
      </w:pPr>
    </w:p>
    <w:p w:rsidR="00F96755" w:rsidRPr="00A96C4E" w:rsidRDefault="00DC3BAE" w:rsidP="00F96755">
      <w:pPr>
        <w:rPr>
          <w:lang w:val="lv-LV"/>
        </w:rPr>
      </w:pPr>
      <w:r w:rsidRPr="00A96C4E">
        <w:rPr>
          <w:lang w:val="lv-LV"/>
        </w:rPr>
        <w:t>Ieguldījumu virzienus varētu noteikt, pamatojoties uz agrākajām ES un EIB prioritātēm</w:t>
      </w:r>
      <w:r w:rsidR="00586007">
        <w:rPr>
          <w:lang w:val="lv-LV"/>
        </w:rPr>
        <w:t>.</w:t>
      </w:r>
      <w:r w:rsidRPr="00A96C4E">
        <w:rPr>
          <w:lang w:val="lv-LV"/>
        </w:rPr>
        <w:t xml:space="preserve"> Tās ietver</w:t>
      </w:r>
      <w:r w:rsidR="003B2EBC" w:rsidRPr="00A96C4E">
        <w:rPr>
          <w:lang w:val="lv-LV"/>
        </w:rPr>
        <w:t xml:space="preserve"> šādas jomas</w:t>
      </w:r>
      <w:r w:rsidRPr="00A96C4E">
        <w:rPr>
          <w:lang w:val="lv-LV"/>
        </w:rPr>
        <w:t>:</w:t>
      </w:r>
    </w:p>
    <w:p w:rsidR="00F96755" w:rsidRPr="00A96C4E" w:rsidRDefault="00F96755" w:rsidP="00F96755">
      <w:pPr>
        <w:rPr>
          <w:lang w:val="lv-LV"/>
        </w:rPr>
      </w:pPr>
    </w:p>
    <w:p w:rsidR="00F96755" w:rsidRPr="00A96C4E" w:rsidRDefault="003B2EBC" w:rsidP="00F96755">
      <w:pPr>
        <w:pStyle w:val="ListBullet"/>
        <w:rPr>
          <w:lang w:val="lv-LV"/>
        </w:rPr>
      </w:pPr>
      <w:r w:rsidRPr="00A96C4E">
        <w:rPr>
          <w:lang w:val="lv-LV"/>
        </w:rPr>
        <w:t>Enerģijas pārveide</w:t>
      </w:r>
      <w:r w:rsidR="00F96755" w:rsidRPr="00A96C4E">
        <w:rPr>
          <w:lang w:val="lv-LV"/>
        </w:rPr>
        <w:t xml:space="preserve"> (</w:t>
      </w:r>
      <w:r w:rsidRPr="00A96C4E">
        <w:rPr>
          <w:lang w:val="lv-LV"/>
        </w:rPr>
        <w:t>sk. Enerģētikas ceļvedis 2050</w:t>
      </w:r>
      <w:r w:rsidR="00F96755" w:rsidRPr="00A96C4E">
        <w:rPr>
          <w:lang w:val="lv-LV"/>
        </w:rPr>
        <w:t xml:space="preserve">, </w:t>
      </w:r>
      <w:r w:rsidRPr="00A96C4E">
        <w:rPr>
          <w:lang w:val="lv-LV"/>
        </w:rPr>
        <w:t>Eiropas Komisija</w:t>
      </w:r>
      <w:r w:rsidR="00F96755" w:rsidRPr="00A96C4E">
        <w:rPr>
          <w:lang w:val="lv-LV"/>
        </w:rPr>
        <w:t xml:space="preserve">); </w:t>
      </w:r>
    </w:p>
    <w:p w:rsidR="00F96755" w:rsidRPr="00A96C4E" w:rsidRDefault="003B2EBC" w:rsidP="00F96755">
      <w:pPr>
        <w:pStyle w:val="ListBullet"/>
        <w:rPr>
          <w:lang w:val="lv-LV"/>
        </w:rPr>
      </w:pPr>
      <w:r w:rsidRPr="00A96C4E">
        <w:rPr>
          <w:lang w:val="lv-LV"/>
        </w:rPr>
        <w:t>Transporta tīkli un infrastruktūra</w:t>
      </w:r>
      <w:r w:rsidR="00F96755" w:rsidRPr="00A96C4E">
        <w:rPr>
          <w:lang w:val="lv-LV"/>
        </w:rPr>
        <w:t xml:space="preserve"> (</w:t>
      </w:r>
      <w:r w:rsidRPr="00A96C4E">
        <w:rPr>
          <w:lang w:val="lv-LV"/>
        </w:rPr>
        <w:t>piem,</w:t>
      </w:r>
      <w:r w:rsidR="00F96755" w:rsidRPr="00A96C4E">
        <w:rPr>
          <w:lang w:val="lv-LV"/>
        </w:rPr>
        <w:t xml:space="preserve"> </w:t>
      </w:r>
      <w:r w:rsidRPr="00A96C4E">
        <w:rPr>
          <w:lang w:val="lv-LV"/>
        </w:rPr>
        <w:t>Eiropas Transporta tīkls</w:t>
      </w:r>
      <w:r w:rsidR="00F96755" w:rsidRPr="00A96C4E">
        <w:rPr>
          <w:lang w:val="lv-LV"/>
        </w:rPr>
        <w:t xml:space="preserve"> – TEN transport</w:t>
      </w:r>
      <w:r w:rsidRPr="00A96C4E">
        <w:rPr>
          <w:lang w:val="lv-LV"/>
        </w:rPr>
        <w:t>s</w:t>
      </w:r>
      <w:r w:rsidR="00F96755" w:rsidRPr="00A96C4E">
        <w:rPr>
          <w:lang w:val="lv-LV"/>
        </w:rPr>
        <w:t>);</w:t>
      </w:r>
    </w:p>
    <w:p w:rsidR="00F96755" w:rsidRPr="00A96C4E" w:rsidRDefault="003B2EBC" w:rsidP="00F96755">
      <w:pPr>
        <w:pStyle w:val="ListBullet"/>
        <w:rPr>
          <w:lang w:val="lv-LV"/>
        </w:rPr>
      </w:pPr>
      <w:r w:rsidRPr="00A96C4E">
        <w:rPr>
          <w:lang w:val="lv-LV"/>
        </w:rPr>
        <w:t>Izglītība un apmācība</w:t>
      </w:r>
      <w:r w:rsidR="00F96755" w:rsidRPr="00A96C4E">
        <w:rPr>
          <w:lang w:val="lv-LV"/>
        </w:rPr>
        <w:t>;</w:t>
      </w:r>
    </w:p>
    <w:p w:rsidR="00F96755" w:rsidRPr="00A96C4E" w:rsidRDefault="003B2EBC" w:rsidP="00F96755">
      <w:pPr>
        <w:pStyle w:val="ListBullet"/>
        <w:rPr>
          <w:lang w:val="lv-LV"/>
        </w:rPr>
      </w:pPr>
      <w:r w:rsidRPr="00A96C4E">
        <w:rPr>
          <w:lang w:val="lv-LV"/>
        </w:rPr>
        <w:t>Platjoslas tīklu paplašināšana</w:t>
      </w:r>
      <w:r w:rsidR="00F96755" w:rsidRPr="00A96C4E">
        <w:rPr>
          <w:lang w:val="lv-LV"/>
        </w:rPr>
        <w:t xml:space="preserve">; </w:t>
      </w:r>
    </w:p>
    <w:p w:rsidR="00F96755" w:rsidRPr="00A96C4E" w:rsidRDefault="003B2EBC" w:rsidP="00F96755">
      <w:pPr>
        <w:pStyle w:val="ListBullet"/>
        <w:rPr>
          <w:lang w:val="lv-LV"/>
        </w:rPr>
      </w:pPr>
      <w:r w:rsidRPr="00A96C4E">
        <w:rPr>
          <w:lang w:val="lv-LV"/>
        </w:rPr>
        <w:t>Ražošanas nākotne</w:t>
      </w:r>
      <w:r w:rsidR="00F96755" w:rsidRPr="00A96C4E">
        <w:rPr>
          <w:lang w:val="lv-LV"/>
        </w:rPr>
        <w:t xml:space="preserve"> (</w:t>
      </w:r>
      <w:r w:rsidRPr="00A96C4E">
        <w:rPr>
          <w:lang w:val="lv-LV"/>
        </w:rPr>
        <w:t>atbalsts MVU</w:t>
      </w:r>
      <w:r w:rsidR="00F96755" w:rsidRPr="00A96C4E">
        <w:rPr>
          <w:lang w:val="lv-LV"/>
        </w:rPr>
        <w:t xml:space="preserve"> – </w:t>
      </w:r>
      <w:r w:rsidRPr="00A96C4E">
        <w:rPr>
          <w:lang w:val="lv-LV"/>
        </w:rPr>
        <w:t>ar nosacījumu, ka tie piemēro tiesiskus noteikumus, par kuriem panākta kolektīva vienošanās -</w:t>
      </w:r>
      <w:r w:rsidR="00F96755" w:rsidRPr="00A96C4E">
        <w:rPr>
          <w:lang w:val="lv-LV"/>
        </w:rPr>
        <w:t xml:space="preserve">, </w:t>
      </w:r>
      <w:r w:rsidRPr="00A96C4E">
        <w:rPr>
          <w:lang w:val="lv-LV"/>
        </w:rPr>
        <w:t>energoefektivitāte un resursu efektīva izmantošana</w:t>
      </w:r>
      <w:r w:rsidR="00F96755" w:rsidRPr="00A96C4E">
        <w:rPr>
          <w:lang w:val="lv-LV"/>
        </w:rPr>
        <w:t xml:space="preserve">, </w:t>
      </w:r>
      <w:r w:rsidRPr="00A96C4E">
        <w:rPr>
          <w:lang w:val="lv-LV"/>
        </w:rPr>
        <w:t>zemas procentu likmes aizdevumiem</w:t>
      </w:r>
      <w:r w:rsidR="00F96755" w:rsidRPr="00A96C4E">
        <w:rPr>
          <w:lang w:val="lv-LV"/>
        </w:rPr>
        <w:t xml:space="preserve">, </w:t>
      </w:r>
      <w:r w:rsidRPr="00A96C4E">
        <w:rPr>
          <w:lang w:val="lv-LV"/>
        </w:rPr>
        <w:t>mikrokredītu programmas utt</w:t>
      </w:r>
      <w:r w:rsidR="00F96755" w:rsidRPr="00A96C4E">
        <w:rPr>
          <w:lang w:val="lv-LV"/>
        </w:rPr>
        <w:t xml:space="preserve">.); </w:t>
      </w:r>
    </w:p>
    <w:p w:rsidR="00F96755" w:rsidRPr="00A96C4E" w:rsidRDefault="00586007" w:rsidP="00F96755">
      <w:pPr>
        <w:pStyle w:val="ListBullet"/>
        <w:rPr>
          <w:lang w:val="lv-LV"/>
        </w:rPr>
      </w:pPr>
      <w:r w:rsidRPr="00586007">
        <w:rPr>
          <w:lang w:val="lv-LV"/>
        </w:rPr>
        <w:t>Publiskie (s</w:t>
      </w:r>
      <w:r w:rsidR="002C7B05" w:rsidRPr="00586007">
        <w:rPr>
          <w:lang w:val="lv-LV"/>
        </w:rPr>
        <w:t>abiedriskie</w:t>
      </w:r>
      <w:r w:rsidRPr="00586007">
        <w:rPr>
          <w:lang w:val="lv-LV"/>
        </w:rPr>
        <w:t>)</w:t>
      </w:r>
      <w:r w:rsidR="002C7B05" w:rsidRPr="00A96C4E">
        <w:rPr>
          <w:lang w:val="lv-LV"/>
        </w:rPr>
        <w:t xml:space="preserve"> un privātie pakalpojumi</w:t>
      </w:r>
      <w:r w:rsidR="00F96755" w:rsidRPr="00A96C4E">
        <w:rPr>
          <w:lang w:val="lv-LV"/>
        </w:rPr>
        <w:t xml:space="preserve"> (</w:t>
      </w:r>
      <w:r w:rsidR="002C7B05" w:rsidRPr="00A96C4E">
        <w:rPr>
          <w:lang w:val="lv-LV"/>
        </w:rPr>
        <w:t>piem</w:t>
      </w:r>
      <w:r w:rsidR="00F96755" w:rsidRPr="00A96C4E">
        <w:rPr>
          <w:lang w:val="lv-LV"/>
        </w:rPr>
        <w:t>.</w:t>
      </w:r>
      <w:r w:rsidR="002C7B05" w:rsidRPr="00A96C4E">
        <w:rPr>
          <w:lang w:val="lv-LV"/>
        </w:rPr>
        <w:t>,</w:t>
      </w:r>
      <w:r w:rsidR="00F96755" w:rsidRPr="00A96C4E">
        <w:rPr>
          <w:lang w:val="lv-LV"/>
        </w:rPr>
        <w:t xml:space="preserve"> </w:t>
      </w:r>
      <w:r w:rsidR="002C7B05" w:rsidRPr="00A96C4E">
        <w:rPr>
          <w:lang w:val="lv-LV"/>
        </w:rPr>
        <w:t>pilsētvides atjaunošana</w:t>
      </w:r>
      <w:r w:rsidR="00F96755" w:rsidRPr="00A96C4E">
        <w:rPr>
          <w:lang w:val="lv-LV"/>
        </w:rPr>
        <w:t xml:space="preserve">, </w:t>
      </w:r>
      <w:r w:rsidR="002C7B05" w:rsidRPr="00A96C4E">
        <w:rPr>
          <w:lang w:val="lv-LV"/>
        </w:rPr>
        <w:t>veselības un sociālā aprūpe</w:t>
      </w:r>
      <w:r w:rsidR="00F96755" w:rsidRPr="00A96C4E">
        <w:rPr>
          <w:lang w:val="lv-LV"/>
        </w:rPr>
        <w:t xml:space="preserve">); </w:t>
      </w:r>
    </w:p>
    <w:p w:rsidR="00F96755" w:rsidRPr="00A96C4E" w:rsidRDefault="002C7B05" w:rsidP="00F96755">
      <w:pPr>
        <w:pStyle w:val="ListBullet"/>
        <w:rPr>
          <w:lang w:val="lv-LV"/>
        </w:rPr>
      </w:pPr>
      <w:r w:rsidRPr="00A96C4E">
        <w:rPr>
          <w:lang w:val="lv-LV"/>
        </w:rPr>
        <w:t>Infrastruktūra un mājokļi gados veciem cilvēkiem</w:t>
      </w:r>
      <w:r w:rsidR="00F96755" w:rsidRPr="00A96C4E">
        <w:rPr>
          <w:lang w:val="lv-LV"/>
        </w:rPr>
        <w:t xml:space="preserve">;  </w:t>
      </w:r>
    </w:p>
    <w:p w:rsidR="00F96755" w:rsidRPr="00A96C4E" w:rsidRDefault="002C7B05" w:rsidP="00F96755">
      <w:pPr>
        <w:pStyle w:val="ListBullet"/>
        <w:rPr>
          <w:lang w:val="lv-LV"/>
        </w:rPr>
      </w:pPr>
      <w:r w:rsidRPr="00A96C4E">
        <w:rPr>
          <w:lang w:val="lv-LV"/>
        </w:rPr>
        <w:t>Sociālie mājokļi</w:t>
      </w:r>
      <w:r w:rsidR="00F96755" w:rsidRPr="00A96C4E">
        <w:rPr>
          <w:lang w:val="lv-LV"/>
        </w:rPr>
        <w:t>;</w:t>
      </w:r>
    </w:p>
    <w:p w:rsidR="00F96755" w:rsidRPr="00586007" w:rsidRDefault="00586007" w:rsidP="00F96755">
      <w:pPr>
        <w:pStyle w:val="ListBullet"/>
        <w:rPr>
          <w:lang w:val="lv-LV"/>
        </w:rPr>
      </w:pPr>
      <w:r w:rsidRPr="00586007">
        <w:rPr>
          <w:lang w:val="lv-LV"/>
        </w:rPr>
        <w:t>Ilgtspējīga</w:t>
      </w:r>
      <w:r w:rsidR="002C7B05" w:rsidRPr="00586007">
        <w:rPr>
          <w:lang w:val="lv-LV"/>
        </w:rPr>
        <w:t xml:space="preserve"> ūdens</w:t>
      </w:r>
      <w:r w:rsidRPr="00586007">
        <w:rPr>
          <w:lang w:val="lv-LV"/>
        </w:rPr>
        <w:t xml:space="preserve"> resursu apsaimniekošana</w:t>
      </w:r>
    </w:p>
    <w:p w:rsidR="00F96755" w:rsidRPr="00A96C4E" w:rsidRDefault="00F96755" w:rsidP="00F96755">
      <w:pPr>
        <w:rPr>
          <w:lang w:val="lv-LV"/>
        </w:rPr>
      </w:pPr>
    </w:p>
    <w:p w:rsidR="00F96755" w:rsidRPr="00A96C4E" w:rsidRDefault="002C7B05" w:rsidP="00F96755">
      <w:pPr>
        <w:rPr>
          <w:lang w:val="lv-LV"/>
        </w:rPr>
      </w:pPr>
      <w:r w:rsidRPr="00162986">
        <w:rPr>
          <w:lang w:val="lv-LV"/>
        </w:rPr>
        <w:t>Eiropas mēroga ieguldījumu projekti jāizstrād</w:t>
      </w:r>
      <w:r w:rsidR="00586007" w:rsidRPr="00162986">
        <w:rPr>
          <w:lang w:val="lv-LV"/>
        </w:rPr>
        <w:t>ā</w:t>
      </w:r>
      <w:r w:rsidRPr="00162986">
        <w:rPr>
          <w:lang w:val="lv-LV"/>
        </w:rPr>
        <w:t xml:space="preserve"> ciešā saist</w:t>
      </w:r>
      <w:r w:rsidR="00162986" w:rsidRPr="00162986">
        <w:rPr>
          <w:lang w:val="lv-LV"/>
        </w:rPr>
        <w:t>ī</w:t>
      </w:r>
      <w:r w:rsidRPr="00162986">
        <w:rPr>
          <w:lang w:val="lv-LV"/>
        </w:rPr>
        <w:t>bā ar valstu ieguldījum</w:t>
      </w:r>
      <w:r w:rsidR="00162986" w:rsidRPr="00162986">
        <w:rPr>
          <w:lang w:val="lv-LV"/>
        </w:rPr>
        <w:t>u projektiem. Prioritāte jāpiešķ</w:t>
      </w:r>
      <w:r w:rsidRPr="00162986">
        <w:rPr>
          <w:lang w:val="lv-LV"/>
        </w:rPr>
        <w:t xml:space="preserve">ir </w:t>
      </w:r>
      <w:r w:rsidR="00162986" w:rsidRPr="00162986">
        <w:rPr>
          <w:lang w:val="lv-LV"/>
        </w:rPr>
        <w:t>tiem</w:t>
      </w:r>
      <w:r w:rsidRPr="00162986">
        <w:rPr>
          <w:lang w:val="lv-LV"/>
        </w:rPr>
        <w:t xml:space="preserve"> ieguldījumiem, kas būtiski ietekmē vietējo saimniecisko darbību. Tas jāveic </w:t>
      </w:r>
      <w:r w:rsidR="002A600B">
        <w:rPr>
          <w:lang w:val="lv-LV"/>
        </w:rPr>
        <w:t>atbilstoši uzdevumam novirzīt ieguldījumus</w:t>
      </w:r>
      <w:r w:rsidRPr="00162986">
        <w:rPr>
          <w:lang w:val="lv-LV"/>
        </w:rPr>
        <w:t xml:space="preserve"> </w:t>
      </w:r>
      <w:r w:rsidR="00162986" w:rsidRPr="00162986">
        <w:rPr>
          <w:lang w:val="lv-LV"/>
        </w:rPr>
        <w:t>tiem mērķiem</w:t>
      </w:r>
      <w:r w:rsidRPr="00162986">
        <w:rPr>
          <w:lang w:val="lv-LV"/>
        </w:rPr>
        <w:t xml:space="preserve">, </w:t>
      </w:r>
      <w:r w:rsidR="00162986" w:rsidRPr="00162986">
        <w:rPr>
          <w:lang w:val="lv-LV"/>
        </w:rPr>
        <w:t>kur ir vis</w:t>
      </w:r>
      <w:r w:rsidRPr="00162986">
        <w:rPr>
          <w:lang w:val="lv-LV"/>
        </w:rPr>
        <w:t>lielākās izredzes</w:t>
      </w:r>
      <w:r w:rsidR="00162986" w:rsidRPr="00162986">
        <w:rPr>
          <w:lang w:val="lv-LV"/>
        </w:rPr>
        <w:t xml:space="preserve"> nākotnē</w:t>
      </w:r>
      <w:r w:rsidRPr="00162986">
        <w:rPr>
          <w:lang w:val="lv-LV"/>
        </w:rPr>
        <w:t xml:space="preserve"> saņemt </w:t>
      </w:r>
      <w:r w:rsidR="00162986" w:rsidRPr="00162986">
        <w:rPr>
          <w:lang w:val="lv-LV"/>
        </w:rPr>
        <w:t xml:space="preserve">finansiālu </w:t>
      </w:r>
      <w:r w:rsidRPr="00162986">
        <w:rPr>
          <w:lang w:val="lv-LV"/>
        </w:rPr>
        <w:t>atdevi no investīcijām</w:t>
      </w:r>
      <w:r w:rsidR="00162986" w:rsidRPr="00162986">
        <w:rPr>
          <w:lang w:val="lv-LV"/>
        </w:rPr>
        <w:t>.</w:t>
      </w:r>
      <w:r w:rsidRPr="00A96C4E">
        <w:rPr>
          <w:lang w:val="lv-LV"/>
        </w:rPr>
        <w:t xml:space="preserve"> </w:t>
      </w:r>
    </w:p>
    <w:p w:rsidR="00F96755" w:rsidRPr="00A96C4E" w:rsidRDefault="00F96755" w:rsidP="00F96755">
      <w:pPr>
        <w:rPr>
          <w:lang w:val="lv-LV"/>
        </w:rPr>
      </w:pPr>
    </w:p>
    <w:p w:rsidR="00F96755" w:rsidRPr="00A96C4E" w:rsidRDefault="002C7B05" w:rsidP="00F96755">
      <w:pPr>
        <w:rPr>
          <w:rStyle w:val="BOLD"/>
          <w:lang w:val="lv-LV"/>
        </w:rPr>
      </w:pPr>
      <w:r w:rsidRPr="00A96C4E">
        <w:rPr>
          <w:rStyle w:val="BOLD"/>
          <w:lang w:val="lv-LV"/>
        </w:rPr>
        <w:t>Virzīb</w:t>
      </w:r>
      <w:r w:rsidR="00875BB8">
        <w:rPr>
          <w:rStyle w:val="BOLD"/>
          <w:lang w:val="lv-LV"/>
        </w:rPr>
        <w:t>a</w:t>
      </w:r>
      <w:r w:rsidRPr="00A96C4E">
        <w:rPr>
          <w:rStyle w:val="BOLD"/>
          <w:lang w:val="lv-LV"/>
        </w:rPr>
        <w:t xml:space="preserve"> uz demokrātisku institucionālu vienošanos un atveseļošanas plāna finansēšanu</w:t>
      </w:r>
    </w:p>
    <w:p w:rsidR="00F96755" w:rsidRPr="00A96C4E" w:rsidRDefault="00F96755" w:rsidP="00F96755">
      <w:pPr>
        <w:rPr>
          <w:lang w:val="lv-LV"/>
        </w:rPr>
      </w:pPr>
    </w:p>
    <w:p w:rsidR="00F96755" w:rsidRPr="00A96C4E" w:rsidRDefault="002C7B05" w:rsidP="00F96755">
      <w:pPr>
        <w:rPr>
          <w:lang w:val="lv-LV"/>
        </w:rPr>
      </w:pPr>
      <w:r w:rsidRPr="00A96C4E">
        <w:rPr>
          <w:lang w:val="lv-LV"/>
        </w:rPr>
        <w:lastRenderedPageBreak/>
        <w:t xml:space="preserve">Lai pārvaldītu plāna īstenošanu, ir vajadzīga Eiropas līmeņa iestāde; </w:t>
      </w:r>
      <w:r w:rsidR="00223F5B" w:rsidRPr="00A96C4E">
        <w:rPr>
          <w:lang w:val="lv-LV"/>
        </w:rPr>
        <w:t>šāda iestāde pavērs iespēj</w:t>
      </w:r>
      <w:r w:rsidR="000779F4">
        <w:rPr>
          <w:lang w:val="lv-LV"/>
        </w:rPr>
        <w:t>as piekļūt finansējumam visā ES</w:t>
      </w:r>
      <w:r w:rsidR="00223F5B" w:rsidRPr="00A96C4E">
        <w:rPr>
          <w:lang w:val="lv-LV"/>
        </w:rPr>
        <w:t xml:space="preserve"> un kā pama</w:t>
      </w:r>
      <w:r w:rsidR="00162986">
        <w:rPr>
          <w:lang w:val="lv-LV"/>
        </w:rPr>
        <w:t>tu ieguldījumu finansēšanai visā</w:t>
      </w:r>
      <w:r w:rsidR="00223F5B" w:rsidRPr="00A96C4E">
        <w:rPr>
          <w:lang w:val="lv-LV"/>
        </w:rPr>
        <w:t xml:space="preserve"> Eiropas Savienībā var emitēt Eiropas ilgtermiņa obligācijas ar salīdzinošu zemu procentu likmi. </w:t>
      </w:r>
    </w:p>
    <w:p w:rsidR="00F96755" w:rsidRPr="00A96C4E" w:rsidRDefault="00F96755" w:rsidP="00F96755">
      <w:pPr>
        <w:pStyle w:val="ListNumber"/>
        <w:numPr>
          <w:ilvl w:val="0"/>
          <w:numId w:val="0"/>
        </w:numPr>
        <w:ind w:left="360" w:hanging="360"/>
        <w:rPr>
          <w:lang w:val="lv-LV"/>
        </w:rPr>
      </w:pPr>
    </w:p>
    <w:p w:rsidR="00F96755" w:rsidRPr="0079552D" w:rsidRDefault="00223F5B" w:rsidP="00F96755">
      <w:pPr>
        <w:rPr>
          <w:lang w:val="lv-LV"/>
        </w:rPr>
      </w:pPr>
      <w:r w:rsidRPr="0079552D">
        <w:rPr>
          <w:lang w:val="lv-LV"/>
        </w:rPr>
        <w:t xml:space="preserve">Pastāv vairākas Eiropas investīciju plāna pārvaldes, koordinēšanas, īstenošanas un demokrātiskas kontroles iespējas, piemēram, </w:t>
      </w:r>
    </w:p>
    <w:p w:rsidR="00F96755" w:rsidRPr="0079552D" w:rsidRDefault="0079552D" w:rsidP="00F96755">
      <w:pPr>
        <w:pStyle w:val="ListBullet"/>
        <w:rPr>
          <w:lang w:val="lv-LV"/>
        </w:rPr>
      </w:pPr>
      <w:r>
        <w:rPr>
          <w:lang w:val="lv-LV"/>
        </w:rPr>
        <w:t>e</w:t>
      </w:r>
      <w:r w:rsidR="00223F5B" w:rsidRPr="0079552D">
        <w:rPr>
          <w:lang w:val="lv-LV"/>
        </w:rPr>
        <w:t>sošas struktūras (struktūru), piem., EIB izmantošana</w:t>
      </w:r>
      <w:r w:rsidR="00F96755" w:rsidRPr="0079552D">
        <w:rPr>
          <w:lang w:val="lv-LV"/>
        </w:rPr>
        <w:t xml:space="preserve"> </w:t>
      </w:r>
    </w:p>
    <w:p w:rsidR="00F96755" w:rsidRPr="0079552D" w:rsidRDefault="00223F5B" w:rsidP="00F96755">
      <w:pPr>
        <w:pStyle w:val="ListBullet"/>
        <w:numPr>
          <w:ilvl w:val="0"/>
          <w:numId w:val="0"/>
        </w:numPr>
        <w:ind w:left="567"/>
        <w:rPr>
          <w:lang w:val="lv-LV"/>
        </w:rPr>
      </w:pPr>
      <w:r w:rsidRPr="0079552D">
        <w:rPr>
          <w:lang w:val="lv-LV"/>
        </w:rPr>
        <w:t>un/vai</w:t>
      </w:r>
    </w:p>
    <w:p w:rsidR="00F96755" w:rsidRPr="0079552D" w:rsidRDefault="0079552D" w:rsidP="00F96755">
      <w:pPr>
        <w:pStyle w:val="ListBullet"/>
        <w:rPr>
          <w:lang w:val="lv-LV"/>
        </w:rPr>
      </w:pPr>
      <w:r w:rsidRPr="0079552D">
        <w:rPr>
          <w:lang w:val="lv-LV"/>
        </w:rPr>
        <w:t>no jauna radītas</w:t>
      </w:r>
      <w:r w:rsidR="00223F5B" w:rsidRPr="0079552D">
        <w:rPr>
          <w:lang w:val="lv-LV"/>
        </w:rPr>
        <w:t xml:space="preserve"> struktūras </w:t>
      </w:r>
      <w:r w:rsidRPr="0079552D">
        <w:rPr>
          <w:lang w:val="lv-LV"/>
        </w:rPr>
        <w:t>izmantošana</w:t>
      </w:r>
      <w:r w:rsidR="00223F5B" w:rsidRPr="0079552D">
        <w:rPr>
          <w:lang w:val="lv-LV"/>
        </w:rPr>
        <w:t>, kuras izveidē piedalītos dalībvalstis, Eiropas Parlaments un Eiropas Komisija</w:t>
      </w:r>
      <w:r w:rsidR="00F96755" w:rsidRPr="0079552D">
        <w:rPr>
          <w:lang w:val="lv-LV"/>
        </w:rPr>
        <w:t>.</w:t>
      </w:r>
    </w:p>
    <w:p w:rsidR="00F96755" w:rsidRPr="00A96C4E" w:rsidRDefault="00223F5B" w:rsidP="00F96755">
      <w:pPr>
        <w:rPr>
          <w:lang w:val="lv-LV"/>
        </w:rPr>
      </w:pPr>
      <w:r w:rsidRPr="0079552D">
        <w:rPr>
          <w:lang w:val="lv-LV"/>
        </w:rPr>
        <w:t>Abos gadījumos izšķirīgi svarīgi ir nodrošināt stratēģisk</w:t>
      </w:r>
      <w:r w:rsidR="0079552D" w:rsidRPr="0079552D">
        <w:rPr>
          <w:lang w:val="lv-LV"/>
        </w:rPr>
        <w:t>ās</w:t>
      </w:r>
      <w:r w:rsidRPr="0079552D">
        <w:rPr>
          <w:lang w:val="lv-LV"/>
        </w:rPr>
        <w:t xml:space="preserve"> politik</w:t>
      </w:r>
      <w:r w:rsidR="0079552D" w:rsidRPr="0079552D">
        <w:rPr>
          <w:lang w:val="lv-LV"/>
        </w:rPr>
        <w:t>as ievirzes</w:t>
      </w:r>
      <w:r w:rsidRPr="0079552D">
        <w:rPr>
          <w:lang w:val="lv-LV"/>
        </w:rPr>
        <w:t xml:space="preserve"> demokrātisku kontroli, atveseļošanas plāna īstenošanas uzraudzību un tā koordināciju. </w:t>
      </w:r>
      <w:r w:rsidR="00F96755" w:rsidRPr="0079552D">
        <w:rPr>
          <w:lang w:val="lv-LV"/>
        </w:rPr>
        <w:t xml:space="preserve"> </w:t>
      </w:r>
      <w:r w:rsidRPr="0079552D">
        <w:rPr>
          <w:lang w:val="lv-LV"/>
        </w:rPr>
        <w:t>Kā to paveikt, b</w:t>
      </w:r>
      <w:r w:rsidR="0079552D" w:rsidRPr="0079552D">
        <w:rPr>
          <w:lang w:val="lv-LV"/>
        </w:rPr>
        <w:t>ū</w:t>
      </w:r>
      <w:r w:rsidRPr="0079552D">
        <w:rPr>
          <w:lang w:val="lv-LV"/>
        </w:rPr>
        <w:t>tu jālemj Eiropas Parlamentam</w:t>
      </w:r>
      <w:r w:rsidR="00F96755" w:rsidRPr="0079552D">
        <w:rPr>
          <w:lang w:val="lv-LV"/>
        </w:rPr>
        <w:t xml:space="preserve">.  </w:t>
      </w:r>
      <w:r w:rsidRPr="0079552D">
        <w:rPr>
          <w:lang w:val="lv-LV"/>
        </w:rPr>
        <w:t xml:space="preserve">Visos </w:t>
      </w:r>
      <w:r w:rsidR="0079552D" w:rsidRPr="0079552D">
        <w:rPr>
          <w:lang w:val="lv-LV"/>
        </w:rPr>
        <w:t xml:space="preserve">šā </w:t>
      </w:r>
      <w:r w:rsidRPr="0079552D">
        <w:rPr>
          <w:lang w:val="lv-LV"/>
        </w:rPr>
        <w:t>demokrāti</w:t>
      </w:r>
      <w:r w:rsidR="0079552D" w:rsidRPr="0079552D">
        <w:rPr>
          <w:lang w:val="lv-LV"/>
        </w:rPr>
        <w:t>s</w:t>
      </w:r>
      <w:r w:rsidRPr="0079552D">
        <w:rPr>
          <w:lang w:val="lv-LV"/>
        </w:rPr>
        <w:t>kā procesa posmos ir jāiesaista sociālie partneri</w:t>
      </w:r>
      <w:r w:rsidR="00F96755" w:rsidRPr="0079552D">
        <w:rPr>
          <w:lang w:val="lv-LV"/>
        </w:rPr>
        <w:t>.</w:t>
      </w:r>
    </w:p>
    <w:p w:rsidR="00F96755" w:rsidRPr="00A96C4E" w:rsidRDefault="00F96755" w:rsidP="00F96755">
      <w:pPr>
        <w:rPr>
          <w:lang w:val="lv-LV"/>
        </w:rPr>
      </w:pPr>
    </w:p>
    <w:p w:rsidR="00F96755" w:rsidRPr="00A96C4E" w:rsidRDefault="00223F5B" w:rsidP="007D3B6F">
      <w:pPr>
        <w:rPr>
          <w:lang w:val="lv-LV"/>
        </w:rPr>
      </w:pPr>
      <w:r w:rsidRPr="0079552D">
        <w:rPr>
          <w:lang w:val="lv-LV"/>
        </w:rPr>
        <w:t xml:space="preserve">Abos gadījumos šī iestāde saņemtu un pārvaldītu sākotnējo akciju kapitālu un tad piesaistītu papildfinansējumu, emitējot ilgtermiņa obligācijas, kas nodrošinātu ikgadēju </w:t>
      </w:r>
      <w:r w:rsidR="00C06067" w:rsidRPr="0079552D">
        <w:rPr>
          <w:lang w:val="lv-LV"/>
        </w:rPr>
        <w:t xml:space="preserve">ienesīgumu (procentu peļņu), </w:t>
      </w:r>
      <w:r w:rsidR="00C06067" w:rsidRPr="0031347E">
        <w:rPr>
          <w:lang w:val="lv-LV"/>
        </w:rPr>
        <w:t>izmantojot priekšrocības, ko sniedz liela apjoma ietaupījumi gan ES, gan ārpus tās, meklējot drošu ieguldījumu iespējas.</w:t>
      </w:r>
      <w:r w:rsidR="00C06067" w:rsidRPr="00A96C4E">
        <w:rPr>
          <w:lang w:val="lv-LV"/>
        </w:rPr>
        <w:t xml:space="preserve"> </w:t>
      </w:r>
      <w:r w:rsidR="0079552D">
        <w:rPr>
          <w:lang w:val="lv-LV"/>
        </w:rPr>
        <w:t xml:space="preserve"> </w:t>
      </w:r>
    </w:p>
    <w:p w:rsidR="00F96755" w:rsidRPr="00A96C4E" w:rsidRDefault="00F96755" w:rsidP="007D3B6F">
      <w:pPr>
        <w:rPr>
          <w:lang w:val="lv-LV"/>
        </w:rPr>
      </w:pPr>
    </w:p>
    <w:p w:rsidR="00F96755" w:rsidRPr="00A96C4E" w:rsidRDefault="00C06067" w:rsidP="007D3B6F">
      <w:pPr>
        <w:rPr>
          <w:lang w:val="lv-LV"/>
        </w:rPr>
      </w:pPr>
      <w:r w:rsidRPr="00A96C4E">
        <w:rPr>
          <w:lang w:val="lv-LV"/>
        </w:rPr>
        <w:t>Kā standarta metodi jāizmanto tiešās investīcijas, aizdevum</w:t>
      </w:r>
      <w:r w:rsidR="009B3F94" w:rsidRPr="00A96C4E">
        <w:rPr>
          <w:lang w:val="lv-LV"/>
        </w:rPr>
        <w:t>us</w:t>
      </w:r>
      <w:r w:rsidRPr="00A96C4E">
        <w:rPr>
          <w:lang w:val="lv-LV"/>
        </w:rPr>
        <w:t xml:space="preserve"> ar zemām procentu likmēm, ieguldījumu dotācijas un/vai nesen ieviestās projektu obligācijas. </w:t>
      </w:r>
      <w:r w:rsidR="00F96755" w:rsidRPr="00A96C4E">
        <w:rPr>
          <w:lang w:val="lv-LV"/>
        </w:rPr>
        <w:t xml:space="preserve"> </w:t>
      </w:r>
      <w:r w:rsidRPr="00A96C4E">
        <w:rPr>
          <w:lang w:val="lv-LV"/>
        </w:rPr>
        <w:t xml:space="preserve">Tās </w:t>
      </w:r>
      <w:r w:rsidR="000779F4">
        <w:rPr>
          <w:lang w:val="lv-LV"/>
        </w:rPr>
        <w:t>tiktu izmantotas pēc</w:t>
      </w:r>
      <w:r w:rsidRPr="00A96C4E">
        <w:rPr>
          <w:lang w:val="lv-LV"/>
        </w:rPr>
        <w:t xml:space="preserve"> dalībvalstu uzņēmumu, valdību, reģionālo un vietējo pašvaldību un citu organizāciju pieteikumiem</w:t>
      </w:r>
      <w:r w:rsidR="0079552D">
        <w:rPr>
          <w:lang w:val="lv-LV"/>
        </w:rPr>
        <w:t>.</w:t>
      </w:r>
      <w:r w:rsidRPr="00A96C4E">
        <w:rPr>
          <w:lang w:val="lv-LV"/>
        </w:rPr>
        <w:t xml:space="preserve"> Tādējādi veiksmīga īstenošana ir atkarīga no pārliecinošu projektu plūsmas.</w:t>
      </w:r>
      <w:r w:rsidR="00F96755" w:rsidRPr="00A96C4E">
        <w:rPr>
          <w:lang w:val="lv-LV"/>
        </w:rPr>
        <w:t xml:space="preserve">  </w:t>
      </w:r>
    </w:p>
    <w:p w:rsidR="00F96755" w:rsidRPr="00A96C4E" w:rsidRDefault="00F96755" w:rsidP="007D3B6F">
      <w:pPr>
        <w:rPr>
          <w:lang w:val="lv-LV"/>
        </w:rPr>
      </w:pPr>
    </w:p>
    <w:p w:rsidR="00F96755" w:rsidRPr="00A96C4E" w:rsidRDefault="000779F4" w:rsidP="007D3B6F">
      <w:pPr>
        <w:rPr>
          <w:lang w:val="lv-LV"/>
        </w:rPr>
      </w:pPr>
      <w:r>
        <w:rPr>
          <w:lang w:val="lv-LV"/>
        </w:rPr>
        <w:t>P</w:t>
      </w:r>
      <w:r w:rsidR="009B3F94" w:rsidRPr="00A96C4E">
        <w:rPr>
          <w:lang w:val="lv-LV"/>
        </w:rPr>
        <w:t xml:space="preserve">rocentu maksājumu saistības par </w:t>
      </w:r>
      <w:r>
        <w:rPr>
          <w:lang w:val="lv-LV"/>
        </w:rPr>
        <w:t>publiskā sektora struktūru aizņēmumiem</w:t>
      </w:r>
      <w:r w:rsidR="009B3F94" w:rsidRPr="00A96C4E">
        <w:rPr>
          <w:lang w:val="lv-LV"/>
        </w:rPr>
        <w:t xml:space="preserve"> varētu segt no papildu</w:t>
      </w:r>
      <w:r w:rsidR="0079552D">
        <w:rPr>
          <w:lang w:val="lv-LV"/>
        </w:rPr>
        <w:t>s</w:t>
      </w:r>
      <w:r w:rsidR="009B3F94" w:rsidRPr="00A96C4E">
        <w:rPr>
          <w:lang w:val="lv-LV"/>
        </w:rPr>
        <w:t xml:space="preserve"> nodokļu ieņēmumiem, kas tiks gūti ekonomikas atveseļošanas rezultātā.  </w:t>
      </w:r>
    </w:p>
    <w:p w:rsidR="00F96755" w:rsidRPr="00A96C4E" w:rsidRDefault="00F96755" w:rsidP="007D3B6F">
      <w:pPr>
        <w:rPr>
          <w:lang w:val="lv-LV"/>
        </w:rPr>
      </w:pPr>
    </w:p>
    <w:p w:rsidR="00F96755" w:rsidRPr="00A96C4E" w:rsidRDefault="009B3F94" w:rsidP="007D3B6F">
      <w:pPr>
        <w:rPr>
          <w:lang w:val="lv-LV"/>
        </w:rPr>
      </w:pPr>
      <w:r w:rsidRPr="00A96C4E">
        <w:rPr>
          <w:lang w:val="lv-LV"/>
        </w:rPr>
        <w:t>Privātajam sektoram izsniegtajiem aizdevumiem jābūt komerciāli dzīvotspējīgiem un tādējādi jārada atdeve.</w:t>
      </w:r>
    </w:p>
    <w:p w:rsidR="00F96755" w:rsidRPr="00A96C4E" w:rsidRDefault="00F96755" w:rsidP="007D3B6F">
      <w:pPr>
        <w:rPr>
          <w:lang w:val="lv-LV"/>
        </w:rPr>
      </w:pPr>
    </w:p>
    <w:p w:rsidR="00F96755" w:rsidRPr="00A96C4E" w:rsidRDefault="0079552D" w:rsidP="007D3B6F">
      <w:pPr>
        <w:rPr>
          <w:lang w:val="lv-LV"/>
        </w:rPr>
      </w:pPr>
      <w:r>
        <w:rPr>
          <w:lang w:val="lv-LV"/>
        </w:rPr>
        <w:t>Lai saglabātu iespējami zemu proc</w:t>
      </w:r>
      <w:r w:rsidR="009B3F94" w:rsidRPr="00A96C4E">
        <w:rPr>
          <w:lang w:val="lv-LV"/>
        </w:rPr>
        <w:t xml:space="preserve">entu </w:t>
      </w:r>
      <w:r>
        <w:rPr>
          <w:lang w:val="lv-LV"/>
        </w:rPr>
        <w:t>likmi</w:t>
      </w:r>
      <w:r w:rsidR="009B3F94" w:rsidRPr="00A96C4E">
        <w:rPr>
          <w:lang w:val="lv-LV"/>
        </w:rPr>
        <w:t xml:space="preserve"> 10 gadu obligācijām, Eiropas iestādei, kura tās izlaiž, ir jābūt uzskatāmai par maksātspējīgu </w:t>
      </w:r>
      <w:r>
        <w:rPr>
          <w:lang w:val="lv-LV"/>
        </w:rPr>
        <w:t>aizņēmēju a</w:t>
      </w:r>
      <w:r w:rsidR="009B3F94" w:rsidRPr="00A96C4E">
        <w:rPr>
          <w:lang w:val="lv-LV"/>
        </w:rPr>
        <w:t>r stabil</w:t>
      </w:r>
      <w:r>
        <w:rPr>
          <w:lang w:val="lv-LV"/>
        </w:rPr>
        <w:t>u</w:t>
      </w:r>
      <w:r w:rsidR="009B3F94" w:rsidRPr="00A96C4E">
        <w:rPr>
          <w:lang w:val="lv-LV"/>
        </w:rPr>
        <w:t xml:space="preserve"> kredītreitingu finanšu tirgos. Tātad tai jābūt iestādei, kuras rīcībā ir pietiekams kapitāls. Par to, kā organizēt šā kapitāla </w:t>
      </w:r>
      <w:r w:rsidR="00273A54">
        <w:rPr>
          <w:lang w:val="lv-LV"/>
        </w:rPr>
        <w:t xml:space="preserve">finansēšanas </w:t>
      </w:r>
      <w:r w:rsidR="009B3F94" w:rsidRPr="00A96C4E">
        <w:rPr>
          <w:lang w:val="lv-LV"/>
        </w:rPr>
        <w:t xml:space="preserve">avotus, jālemj dalībvalstīm. </w:t>
      </w:r>
    </w:p>
    <w:p w:rsidR="009B3F94" w:rsidRPr="00A96C4E" w:rsidRDefault="009B3F94" w:rsidP="007D3B6F">
      <w:pPr>
        <w:rPr>
          <w:lang w:val="lv-LV"/>
        </w:rPr>
      </w:pPr>
    </w:p>
    <w:p w:rsidR="009B3F94" w:rsidRPr="00A96C4E" w:rsidRDefault="00273A54" w:rsidP="007D3B6F">
      <w:pPr>
        <w:rPr>
          <w:lang w:val="lv-LV"/>
        </w:rPr>
      </w:pPr>
      <w:r>
        <w:rPr>
          <w:lang w:val="lv-LV"/>
        </w:rPr>
        <w:t>Li</w:t>
      </w:r>
      <w:r w:rsidR="009B3F94" w:rsidRPr="00A96C4E">
        <w:rPr>
          <w:lang w:val="lv-LV"/>
        </w:rPr>
        <w:t xml:space="preserve">elāko </w:t>
      </w:r>
      <w:r>
        <w:rPr>
          <w:lang w:val="lv-LV"/>
        </w:rPr>
        <w:t xml:space="preserve">krīzes radīto </w:t>
      </w:r>
      <w:r w:rsidR="009B3F94" w:rsidRPr="00A96C4E">
        <w:rPr>
          <w:lang w:val="lv-LV"/>
        </w:rPr>
        <w:t>slogu uz saviem pleciem iznesuši strādājo</w:t>
      </w:r>
      <w:r>
        <w:rPr>
          <w:lang w:val="lv-LV"/>
        </w:rPr>
        <w:t>š</w:t>
      </w:r>
      <w:r w:rsidR="009B3F94" w:rsidRPr="00A96C4E">
        <w:rPr>
          <w:lang w:val="lv-LV"/>
        </w:rPr>
        <w:t xml:space="preserve">ie un nodokļu maksātāji, </w:t>
      </w:r>
      <w:r>
        <w:rPr>
          <w:lang w:val="lv-LV"/>
        </w:rPr>
        <w:t xml:space="preserve">un </w:t>
      </w:r>
      <w:r w:rsidR="009B3F94" w:rsidRPr="00A96C4E">
        <w:rPr>
          <w:lang w:val="lv-LV"/>
        </w:rPr>
        <w:t xml:space="preserve">tagad </w:t>
      </w:r>
      <w:r>
        <w:rPr>
          <w:lang w:val="lv-LV"/>
        </w:rPr>
        <w:t xml:space="preserve">ir </w:t>
      </w:r>
      <w:r w:rsidR="009B3F94" w:rsidRPr="00A96C4E">
        <w:rPr>
          <w:lang w:val="lv-LV"/>
        </w:rPr>
        <w:t xml:space="preserve">pienācis laiks arī pārtikušajiem un bagātajiem </w:t>
      </w:r>
      <w:r>
        <w:rPr>
          <w:lang w:val="lv-LV"/>
        </w:rPr>
        <w:t xml:space="preserve">dot vienreizēju ieguldījumu </w:t>
      </w:r>
      <w:r w:rsidR="009B3F94" w:rsidRPr="00A96C4E">
        <w:rPr>
          <w:lang w:val="lv-LV"/>
        </w:rPr>
        <w:t xml:space="preserve"> </w:t>
      </w:r>
      <w:r w:rsidR="00366F90" w:rsidRPr="00A96C4E">
        <w:rPr>
          <w:lang w:val="lv-LV"/>
        </w:rPr>
        <w:t xml:space="preserve">Eiropas izaugsmes </w:t>
      </w:r>
      <w:r>
        <w:rPr>
          <w:lang w:val="lv-LV"/>
        </w:rPr>
        <w:t>un ieguldījumu sargorganizācijas kapitāla finansēšanā</w:t>
      </w:r>
      <w:r w:rsidR="00366F90" w:rsidRPr="00A96C4E">
        <w:rPr>
          <w:lang w:val="lv-LV"/>
        </w:rPr>
        <w:t>, piemēram, maksājot vienreizēju īpašuma nodokli.</w:t>
      </w:r>
    </w:p>
    <w:p w:rsidR="00F96755" w:rsidRPr="00A96C4E" w:rsidRDefault="00F96755" w:rsidP="007D3B6F">
      <w:pPr>
        <w:rPr>
          <w:lang w:val="lv-LV"/>
        </w:rPr>
      </w:pPr>
    </w:p>
    <w:p w:rsidR="00F96755" w:rsidRPr="00A96C4E" w:rsidRDefault="00366F90" w:rsidP="007D3B6F">
      <w:pPr>
        <w:rPr>
          <w:lang w:val="lv-LV"/>
        </w:rPr>
      </w:pPr>
      <w:r w:rsidRPr="00A96C4E">
        <w:rPr>
          <w:lang w:val="lv-LV"/>
        </w:rPr>
        <w:t>Dalībvalstis varētu izlemt izmantot neizlietotos struktūrfondu līdzekļus šā kapitāla finansēšanai un/ vai izmantot struktūrfondus aizņēmumu līdzgarantēšanai. Arī Komisij</w:t>
      </w:r>
      <w:r w:rsidR="0031347E">
        <w:rPr>
          <w:lang w:val="lv-LV"/>
        </w:rPr>
        <w:t>a</w:t>
      </w:r>
      <w:r w:rsidRPr="00A96C4E">
        <w:rPr>
          <w:lang w:val="lv-LV"/>
        </w:rPr>
        <w:t xml:space="preserve"> varētu </w:t>
      </w:r>
      <w:r w:rsidR="000779F4">
        <w:rPr>
          <w:lang w:val="lv-LV"/>
        </w:rPr>
        <w:t>piedalīties</w:t>
      </w:r>
      <w:r w:rsidRPr="00A96C4E">
        <w:rPr>
          <w:lang w:val="lv-LV"/>
        </w:rPr>
        <w:t xml:space="preserve"> kā </w:t>
      </w:r>
      <w:r w:rsidR="00780EE7">
        <w:rPr>
          <w:lang w:val="lv-LV"/>
        </w:rPr>
        <w:t xml:space="preserve">saistīto </w:t>
      </w:r>
      <w:r w:rsidRPr="00A96C4E">
        <w:rPr>
          <w:lang w:val="lv-LV"/>
        </w:rPr>
        <w:t>garantiju sniedzēj</w:t>
      </w:r>
      <w:r w:rsidR="000779F4">
        <w:rPr>
          <w:lang w:val="lv-LV"/>
        </w:rPr>
        <w:t>a</w:t>
      </w:r>
      <w:r w:rsidRPr="00A96C4E">
        <w:rPr>
          <w:lang w:val="lv-LV"/>
        </w:rPr>
        <w:t>.</w:t>
      </w:r>
      <w:r w:rsidR="00C25A36">
        <w:rPr>
          <w:lang w:val="lv-LV"/>
        </w:rPr>
        <w:t xml:space="preserve"> </w:t>
      </w:r>
    </w:p>
    <w:p w:rsidR="00F96755" w:rsidRPr="00A96C4E" w:rsidRDefault="00F96755" w:rsidP="007D3B6F">
      <w:pPr>
        <w:rPr>
          <w:lang w:val="lv-LV"/>
        </w:rPr>
      </w:pPr>
    </w:p>
    <w:p w:rsidR="00F96755" w:rsidRPr="00A96C4E" w:rsidRDefault="00366F90" w:rsidP="007D3B6F">
      <w:pPr>
        <w:rPr>
          <w:lang w:val="lv-LV"/>
        </w:rPr>
      </w:pPr>
      <w:r w:rsidRPr="00A96C4E">
        <w:rPr>
          <w:lang w:val="lv-LV"/>
        </w:rPr>
        <w:t>Sākotnējās atmaksāšanas prasības ir ārkārtīgi zemas – tās veido vienīgi procentu maksājumi par ilgtermiņa kredītiem. Lai gan maksājumi laika g</w:t>
      </w:r>
      <w:r w:rsidR="00780EE7">
        <w:rPr>
          <w:lang w:val="lv-LV"/>
        </w:rPr>
        <w:t>aitā palielināsies, īpaši, kad būs j</w:t>
      </w:r>
      <w:r w:rsidRPr="00A96C4E">
        <w:rPr>
          <w:lang w:val="lv-LV"/>
        </w:rPr>
        <w:t>āatmaksā sākotnējās aizdevumu summas, t</w:t>
      </w:r>
      <w:r w:rsidR="00780EE7">
        <w:rPr>
          <w:lang w:val="lv-LV"/>
        </w:rPr>
        <w:t>ie</w:t>
      </w:r>
      <w:r w:rsidRPr="00A96C4E">
        <w:rPr>
          <w:lang w:val="lv-LV"/>
        </w:rPr>
        <w:t xml:space="preserve"> vienmēr </w:t>
      </w:r>
      <w:r w:rsidR="00780EE7">
        <w:rPr>
          <w:lang w:val="lv-LV"/>
        </w:rPr>
        <w:t>būs relatīvi</w:t>
      </w:r>
      <w:r w:rsidRPr="00A96C4E">
        <w:rPr>
          <w:lang w:val="lv-LV"/>
        </w:rPr>
        <w:t xml:space="preserve"> maz</w:t>
      </w:r>
      <w:r w:rsidR="00780EE7">
        <w:rPr>
          <w:lang w:val="lv-LV"/>
        </w:rPr>
        <w:t>i</w:t>
      </w:r>
      <w:r w:rsidRPr="00A96C4E">
        <w:rPr>
          <w:lang w:val="lv-LV"/>
        </w:rPr>
        <w:t xml:space="preserve"> salīdzinājumā ar nodokļu ieņēmumu </w:t>
      </w:r>
      <w:r w:rsidR="00780EE7">
        <w:rPr>
          <w:lang w:val="lv-LV"/>
        </w:rPr>
        <w:t>kāpumu</w:t>
      </w:r>
      <w:r w:rsidRPr="00A96C4E">
        <w:rPr>
          <w:lang w:val="lv-LV"/>
        </w:rPr>
        <w:t xml:space="preserve">, pieņemot, ka </w:t>
      </w:r>
      <w:r w:rsidR="000779F4">
        <w:rPr>
          <w:lang w:val="lv-LV"/>
        </w:rPr>
        <w:t>minētie ieņēmumi</w:t>
      </w:r>
      <w:r w:rsidRPr="00A96C4E">
        <w:rPr>
          <w:lang w:val="lv-LV"/>
        </w:rPr>
        <w:t xml:space="preserve"> pieaugs atbils</w:t>
      </w:r>
      <w:r w:rsidR="00780EE7">
        <w:rPr>
          <w:lang w:val="lv-LV"/>
        </w:rPr>
        <w:t>toši IKP, tiklīdz tiks atjaunota</w:t>
      </w:r>
      <w:r w:rsidRPr="00A96C4E">
        <w:rPr>
          <w:lang w:val="lv-LV"/>
        </w:rPr>
        <w:t xml:space="preserve"> IKP izaugsme.</w:t>
      </w:r>
    </w:p>
    <w:p w:rsidR="00F96755" w:rsidRPr="00A96C4E" w:rsidRDefault="00F96755" w:rsidP="007D3B6F">
      <w:pPr>
        <w:rPr>
          <w:lang w:val="lv-LV"/>
        </w:rPr>
      </w:pPr>
    </w:p>
    <w:p w:rsidR="00F96755" w:rsidRPr="00A96C4E" w:rsidRDefault="0004302D" w:rsidP="007D3B6F">
      <w:pPr>
        <w:rPr>
          <w:lang w:val="lv-LV"/>
        </w:rPr>
      </w:pPr>
      <w:r w:rsidRPr="00A96C4E">
        <w:rPr>
          <w:lang w:val="lv-LV"/>
        </w:rPr>
        <w:t>Tāpēc nav vajadzības palielināt nodokļu likmes vai ieviest jaunus nodokļus</w:t>
      </w:r>
      <w:r w:rsidR="00F23C3E" w:rsidRPr="00A96C4E">
        <w:rPr>
          <w:lang w:val="lv-LV"/>
        </w:rPr>
        <w:t>. Tomēr dalībvalstis var izvēlēties pašas savus līdzekļus papildu ieņēmumu piesaistīšanai.</w:t>
      </w:r>
    </w:p>
    <w:p w:rsidR="00F96755" w:rsidRPr="00A96C4E" w:rsidRDefault="00F96755" w:rsidP="007D3B6F">
      <w:pPr>
        <w:rPr>
          <w:lang w:val="lv-LV"/>
        </w:rPr>
      </w:pPr>
    </w:p>
    <w:p w:rsidR="00746266" w:rsidRPr="00A96C4E" w:rsidRDefault="00746266" w:rsidP="007D3B6F">
      <w:pPr>
        <w:rPr>
          <w:lang w:val="lv-LV"/>
        </w:rPr>
      </w:pPr>
      <w:r w:rsidRPr="00A96C4E">
        <w:rPr>
          <w:lang w:val="lv-LV"/>
        </w:rPr>
        <w:t xml:space="preserve">Ieņēmumus no finanšu darījumu nodokļa </w:t>
      </w:r>
      <w:r w:rsidR="00D91F82" w:rsidRPr="00A96C4E">
        <w:rPr>
          <w:lang w:val="lv-LV"/>
        </w:rPr>
        <w:t>varētu izmantot sākotnējā kapitāla, kas jāiemaksā valstu valdībām, finansēšanai vai aizdevumu procentu finansēšanai.</w:t>
      </w:r>
    </w:p>
    <w:p w:rsidR="00F96755" w:rsidRPr="00A96C4E" w:rsidRDefault="00F96755" w:rsidP="007D3B6F">
      <w:pPr>
        <w:rPr>
          <w:lang w:val="lv-LV"/>
        </w:rPr>
      </w:pPr>
    </w:p>
    <w:p w:rsidR="00F96755" w:rsidRPr="00A96C4E" w:rsidRDefault="00771013" w:rsidP="00F96755">
      <w:pPr>
        <w:rPr>
          <w:rStyle w:val="BOLD"/>
          <w:lang w:val="lv-LV"/>
        </w:rPr>
      </w:pPr>
      <w:r w:rsidRPr="00A96C4E">
        <w:rPr>
          <w:rStyle w:val="BOLD"/>
          <w:lang w:val="lv-LV"/>
        </w:rPr>
        <w:t>Rezultātu prognozēšana</w:t>
      </w:r>
      <w:r w:rsidR="00F96755" w:rsidRPr="00A96C4E">
        <w:rPr>
          <w:rStyle w:val="BOLD"/>
          <w:lang w:val="lv-LV"/>
        </w:rPr>
        <w:t xml:space="preserve">:  </w:t>
      </w:r>
    </w:p>
    <w:p w:rsidR="00F96755" w:rsidRPr="00A96C4E" w:rsidRDefault="00F96755" w:rsidP="00F96755">
      <w:pPr>
        <w:rPr>
          <w:lang w:val="lv-LV"/>
        </w:rPr>
      </w:pPr>
    </w:p>
    <w:p w:rsidR="00F96755" w:rsidRPr="00A96C4E" w:rsidRDefault="00771013" w:rsidP="007D3B6F">
      <w:pPr>
        <w:rPr>
          <w:lang w:val="lv-LV"/>
        </w:rPr>
      </w:pPr>
      <w:r w:rsidRPr="00A96C4E">
        <w:rPr>
          <w:lang w:val="lv-LV"/>
        </w:rPr>
        <w:t xml:space="preserve">Ilgtermiņa ieguldījumu </w:t>
      </w:r>
      <w:r w:rsidR="00E23EC9" w:rsidRPr="00A96C4E">
        <w:rPr>
          <w:lang w:val="lv-LV"/>
        </w:rPr>
        <w:t>plā</w:t>
      </w:r>
      <w:r w:rsidRPr="00A96C4E">
        <w:rPr>
          <w:lang w:val="lv-LV"/>
        </w:rPr>
        <w:t xml:space="preserve">ns palielinās valsts ienākumus un nodarbinātības līmeni šādos veidos: </w:t>
      </w:r>
    </w:p>
    <w:p w:rsidR="00F96755" w:rsidRPr="00A96C4E" w:rsidRDefault="00F96755" w:rsidP="007D3B6F">
      <w:pPr>
        <w:pStyle w:val="ListBullet"/>
        <w:numPr>
          <w:ilvl w:val="0"/>
          <w:numId w:val="0"/>
        </w:numPr>
        <w:ind w:left="567"/>
        <w:rPr>
          <w:lang w:val="lv-LV"/>
        </w:rPr>
      </w:pPr>
    </w:p>
    <w:p w:rsidR="00F96755" w:rsidRPr="00A96C4E" w:rsidRDefault="00EC4420" w:rsidP="00F96755">
      <w:pPr>
        <w:pStyle w:val="ListBullet"/>
        <w:rPr>
          <w:lang w:val="lv-LV"/>
        </w:rPr>
      </w:pPr>
      <w:r w:rsidRPr="00A96C4E">
        <w:rPr>
          <w:lang w:val="lv-LV"/>
        </w:rPr>
        <w:t>i</w:t>
      </w:r>
      <w:r w:rsidR="00771013" w:rsidRPr="00A96C4E">
        <w:rPr>
          <w:lang w:val="lv-LV"/>
        </w:rPr>
        <w:t>eguldījumu tūlītēja ietekme, t.i., lielāka nodarbinātība būvniecī</w:t>
      </w:r>
      <w:r w:rsidRPr="00A96C4E">
        <w:rPr>
          <w:lang w:val="lv-LV"/>
        </w:rPr>
        <w:t>bas projektos un no tā izrietošais pieprasījuma pieaugums</w:t>
      </w:r>
      <w:r w:rsidR="00780EE7">
        <w:rPr>
          <w:lang w:val="lv-LV"/>
        </w:rPr>
        <w:t>;</w:t>
      </w:r>
    </w:p>
    <w:p w:rsidR="00F96755" w:rsidRPr="00A96C4E" w:rsidRDefault="00EC4420" w:rsidP="00F96755">
      <w:pPr>
        <w:pStyle w:val="ListBullet"/>
        <w:rPr>
          <w:lang w:val="lv-LV"/>
        </w:rPr>
      </w:pPr>
      <w:r w:rsidRPr="00A96C4E">
        <w:rPr>
          <w:lang w:val="lv-LV"/>
        </w:rPr>
        <w:t>nodokļu ieņēmumu būtisks pieaugums, kas būs vairāk nekā pietiekams, lai atmaksātu aizdevumus</w:t>
      </w:r>
      <w:r w:rsidR="00780EE7">
        <w:rPr>
          <w:lang w:val="lv-LV"/>
        </w:rPr>
        <w:t>;</w:t>
      </w:r>
    </w:p>
    <w:p w:rsidR="00F96755" w:rsidRPr="00A96C4E" w:rsidRDefault="000779F4" w:rsidP="00F96755">
      <w:pPr>
        <w:pStyle w:val="ListBullet"/>
        <w:rPr>
          <w:lang w:val="lv-LV"/>
        </w:rPr>
      </w:pPr>
      <w:r>
        <w:rPr>
          <w:lang w:val="lv-LV"/>
        </w:rPr>
        <w:t>iespējams</w:t>
      </w:r>
      <w:r w:rsidR="00C81208" w:rsidRPr="00A96C4E">
        <w:rPr>
          <w:lang w:val="lv-LV"/>
        </w:rPr>
        <w:t xml:space="preserve"> izstrādāt </w:t>
      </w:r>
      <w:r w:rsidR="00E23EC9" w:rsidRPr="00A96C4E">
        <w:rPr>
          <w:lang w:val="lv-LV"/>
        </w:rPr>
        <w:t>pamatotas prognozes par plāna īstenošanas rezultātā panākto ietekmi uz ienākumu un nodarbinātības līmeni dažu turpmāko gadu griezumā</w:t>
      </w:r>
      <w:r w:rsidR="00F96755" w:rsidRPr="00A96C4E">
        <w:rPr>
          <w:lang w:val="lv-LV"/>
        </w:rPr>
        <w:t>.</w:t>
      </w:r>
    </w:p>
    <w:p w:rsidR="00F96755" w:rsidRPr="00A96C4E" w:rsidRDefault="00F96755" w:rsidP="00F96755">
      <w:pPr>
        <w:rPr>
          <w:lang w:val="lv-LV"/>
        </w:rPr>
      </w:pPr>
    </w:p>
    <w:p w:rsidR="00F96755" w:rsidRPr="00A96C4E" w:rsidRDefault="00E23EC9" w:rsidP="007D3B6F">
      <w:pPr>
        <w:rPr>
          <w:lang w:val="lv-LV"/>
        </w:rPr>
      </w:pPr>
      <w:r w:rsidRPr="00A96C4E">
        <w:rPr>
          <w:lang w:val="lv-LV"/>
        </w:rPr>
        <w:t xml:space="preserve">Ierosinātajai ieguldījumu palielināšanai par </w:t>
      </w:r>
      <w:r w:rsidR="00F96755" w:rsidRPr="00A96C4E">
        <w:rPr>
          <w:lang w:val="lv-LV"/>
        </w:rPr>
        <w:t xml:space="preserve">2% </w:t>
      </w:r>
      <w:r w:rsidRPr="00A96C4E">
        <w:rPr>
          <w:lang w:val="lv-LV"/>
        </w:rPr>
        <w:t>no ES IKP katru gadu vajadzētu dot impuls</w:t>
      </w:r>
      <w:r w:rsidR="00780EE7">
        <w:rPr>
          <w:lang w:val="lv-LV"/>
        </w:rPr>
        <w:t>u</w:t>
      </w:r>
      <w:r w:rsidRPr="00A96C4E">
        <w:rPr>
          <w:lang w:val="lv-LV"/>
        </w:rPr>
        <w:t xml:space="preserve"> priv</w:t>
      </w:r>
      <w:r w:rsidR="00780EE7">
        <w:rPr>
          <w:lang w:val="lv-LV"/>
        </w:rPr>
        <w:t>āto</w:t>
      </w:r>
      <w:r w:rsidRPr="00A96C4E">
        <w:rPr>
          <w:lang w:val="lv-LV"/>
        </w:rPr>
        <w:t xml:space="preserve"> ieguldījumu </w:t>
      </w:r>
      <w:r w:rsidR="00780EE7">
        <w:rPr>
          <w:lang w:val="lv-LV"/>
        </w:rPr>
        <w:t xml:space="preserve">papildu </w:t>
      </w:r>
      <w:r w:rsidRPr="00A96C4E">
        <w:rPr>
          <w:lang w:val="lv-LV"/>
        </w:rPr>
        <w:t>piesaistei un tādējādi sekmēt vērienīgus priv</w:t>
      </w:r>
      <w:r w:rsidR="00780EE7">
        <w:rPr>
          <w:lang w:val="lv-LV"/>
        </w:rPr>
        <w:t>ātā</w:t>
      </w:r>
      <w:r w:rsidRPr="00A96C4E">
        <w:rPr>
          <w:lang w:val="lv-LV"/>
        </w:rPr>
        <w:t xml:space="preserve"> sektora modernizācijas pasākumus. </w:t>
      </w:r>
    </w:p>
    <w:p w:rsidR="00F96755" w:rsidRPr="00A96C4E" w:rsidRDefault="00F96755" w:rsidP="007D3B6F">
      <w:pPr>
        <w:rPr>
          <w:lang w:val="lv-LV"/>
        </w:rPr>
      </w:pPr>
    </w:p>
    <w:p w:rsidR="00F96755" w:rsidRPr="0031347E" w:rsidRDefault="00E23EC9" w:rsidP="007D3B6F">
      <w:pPr>
        <w:rPr>
          <w:lang w:val="lv-LV"/>
        </w:rPr>
      </w:pPr>
      <w:r w:rsidRPr="0031347E">
        <w:rPr>
          <w:lang w:val="lv-LV"/>
        </w:rPr>
        <w:t xml:space="preserve">Ilgtermiņā </w:t>
      </w:r>
      <w:r w:rsidR="00CD42D2" w:rsidRPr="0031347E">
        <w:rPr>
          <w:lang w:val="lv-LV"/>
        </w:rPr>
        <w:t>aktīva,</w:t>
      </w:r>
      <w:r w:rsidRPr="0031347E">
        <w:rPr>
          <w:lang w:val="lv-LV"/>
        </w:rPr>
        <w:t xml:space="preserve"> </w:t>
      </w:r>
      <w:r w:rsidR="00CD42D2" w:rsidRPr="0031347E">
        <w:rPr>
          <w:lang w:val="lv-LV"/>
        </w:rPr>
        <w:t xml:space="preserve">uz </w:t>
      </w:r>
      <w:r w:rsidRPr="0031347E">
        <w:rPr>
          <w:lang w:val="lv-LV"/>
        </w:rPr>
        <w:t xml:space="preserve">Eiropas valstu </w:t>
      </w:r>
      <w:r w:rsidR="00CD42D2" w:rsidRPr="0031347E">
        <w:rPr>
          <w:lang w:val="lv-LV"/>
        </w:rPr>
        <w:t>tautsaimniecības</w:t>
      </w:r>
      <w:r w:rsidRPr="0031347E">
        <w:rPr>
          <w:lang w:val="lv-LV"/>
        </w:rPr>
        <w:t xml:space="preserve"> </w:t>
      </w:r>
      <w:r w:rsidR="008575F2" w:rsidRPr="0031347E">
        <w:rPr>
          <w:lang w:val="lv-LV"/>
        </w:rPr>
        <w:t>pamatīg</w:t>
      </w:r>
      <w:r w:rsidR="00CD42D2" w:rsidRPr="0031347E">
        <w:rPr>
          <w:lang w:val="lv-LV"/>
        </w:rPr>
        <w:t>u</w:t>
      </w:r>
      <w:r w:rsidR="008575F2" w:rsidRPr="0031347E">
        <w:rPr>
          <w:lang w:val="lv-LV"/>
        </w:rPr>
        <w:t xml:space="preserve"> pārveidi </w:t>
      </w:r>
      <w:r w:rsidR="00CD42D2" w:rsidRPr="0031347E">
        <w:rPr>
          <w:lang w:val="lv-LV"/>
        </w:rPr>
        <w:t xml:space="preserve">vērsta ieguldījumu stratēģija </w:t>
      </w:r>
      <w:r w:rsidR="008575F2" w:rsidRPr="0031347E">
        <w:rPr>
          <w:lang w:val="lv-LV"/>
        </w:rPr>
        <w:t xml:space="preserve">enerģētikas </w:t>
      </w:r>
      <w:r w:rsidR="00CD42D2" w:rsidRPr="0031347E">
        <w:rPr>
          <w:lang w:val="lv-LV"/>
        </w:rPr>
        <w:t>jomā</w:t>
      </w:r>
      <w:r w:rsidR="008575F2" w:rsidRPr="0031347E">
        <w:rPr>
          <w:lang w:val="lv-LV"/>
        </w:rPr>
        <w:t xml:space="preserve"> varētu radīt 11 miljonus jaunu pilna laika inovatīvu darbavietu (sk. 1. pielikumu).</w:t>
      </w:r>
    </w:p>
    <w:p w:rsidR="00F96755" w:rsidRPr="00780EE7" w:rsidRDefault="00F96755" w:rsidP="007D3B6F">
      <w:pPr>
        <w:rPr>
          <w:highlight w:val="green"/>
          <w:lang w:val="lv-LV"/>
        </w:rPr>
      </w:pPr>
    </w:p>
    <w:p w:rsidR="008575F2" w:rsidRPr="00CD42D2" w:rsidRDefault="008575F2" w:rsidP="007D3B6F">
      <w:pPr>
        <w:rPr>
          <w:lang w:val="lv-LV"/>
        </w:rPr>
      </w:pPr>
      <w:r w:rsidRPr="00CD42D2">
        <w:rPr>
          <w:lang w:val="lv-LV"/>
        </w:rPr>
        <w:t>Kvantitatīva izaugsme un augsts nodarbinātības līmenis rad</w:t>
      </w:r>
      <w:r w:rsidR="00CD42D2" w:rsidRPr="00CD42D2">
        <w:rPr>
          <w:lang w:val="lv-LV"/>
        </w:rPr>
        <w:t>a arī vispiemērotāko bāzi parāda</w:t>
      </w:r>
      <w:r w:rsidRPr="00CD42D2">
        <w:rPr>
          <w:lang w:val="lv-LV"/>
        </w:rPr>
        <w:t xml:space="preserve"> līmeņa samazināšanai un budžeta stabilizēšanai. Mūsu pl</w:t>
      </w:r>
      <w:r w:rsidR="005779DE">
        <w:rPr>
          <w:lang w:val="lv-LV"/>
        </w:rPr>
        <w:t>ā</w:t>
      </w:r>
      <w:r w:rsidRPr="00CD42D2">
        <w:rPr>
          <w:lang w:val="lv-LV"/>
        </w:rPr>
        <w:t>ns būs ES dalībvalstīm izdevīg</w:t>
      </w:r>
      <w:r w:rsidR="00CD42D2" w:rsidRPr="00CD42D2">
        <w:rPr>
          <w:lang w:val="lv-LV"/>
        </w:rPr>
        <w:t>s, jo tās saņems papildu impulsu</w:t>
      </w:r>
      <w:r w:rsidRPr="00CD42D2">
        <w:rPr>
          <w:lang w:val="lv-LV"/>
        </w:rPr>
        <w:t xml:space="preserve"> izaugsmei un nodarbinātībai</w:t>
      </w:r>
      <w:r w:rsidR="00CD42D2" w:rsidRPr="00CD42D2">
        <w:rPr>
          <w:lang w:val="lv-LV"/>
        </w:rPr>
        <w:t>,</w:t>
      </w:r>
      <w:r w:rsidRPr="00CD42D2">
        <w:rPr>
          <w:lang w:val="lv-LV"/>
        </w:rPr>
        <w:t xml:space="preserve"> un var</w:t>
      </w:r>
      <w:r w:rsidR="00CD42D2" w:rsidRPr="00CD42D2">
        <w:rPr>
          <w:lang w:val="lv-LV"/>
        </w:rPr>
        <w:t>ēs</w:t>
      </w:r>
      <w:r w:rsidRPr="00CD42D2">
        <w:rPr>
          <w:lang w:val="lv-LV"/>
        </w:rPr>
        <w:t xml:space="preserve"> to izmantot, lai </w:t>
      </w:r>
      <w:r w:rsidR="00CD42D2" w:rsidRPr="00CD42D2">
        <w:rPr>
          <w:lang w:val="lv-LV"/>
        </w:rPr>
        <w:t>gūtu</w:t>
      </w:r>
      <w:r w:rsidRPr="00CD42D2">
        <w:rPr>
          <w:lang w:val="lv-LV"/>
        </w:rPr>
        <w:t xml:space="preserve"> </w:t>
      </w:r>
      <w:r w:rsidR="00CD42D2" w:rsidRPr="00CD42D2">
        <w:rPr>
          <w:lang w:val="lv-LV"/>
        </w:rPr>
        <w:t>būtiski lielākus</w:t>
      </w:r>
      <w:r w:rsidRPr="00CD42D2">
        <w:rPr>
          <w:lang w:val="lv-LV"/>
        </w:rPr>
        <w:t xml:space="preserve"> tiešos un netiešos nodokļu ieņēmumus no ienākumu nodokļa, PVN, uzņēmumu ienākuma nodokļa, sociālās apdrošināšanas iemaksām, kā arī lai samazinātu bezdarba izmaksas.</w:t>
      </w:r>
      <w:r w:rsidR="00CD42D2" w:rsidRPr="00CD42D2">
        <w:rPr>
          <w:lang w:val="lv-LV"/>
        </w:rPr>
        <w:t xml:space="preserve"> Tas, savukārt, atvieglos parādsaistību dzēšanu.</w:t>
      </w:r>
    </w:p>
    <w:p w:rsidR="00F96755" w:rsidRPr="00CD42D2" w:rsidRDefault="00F96755" w:rsidP="007D3B6F">
      <w:pPr>
        <w:rPr>
          <w:highlight w:val="yellow"/>
          <w:lang w:val="lv-LV"/>
        </w:rPr>
      </w:pPr>
    </w:p>
    <w:p w:rsidR="00F96755" w:rsidRPr="0031347E" w:rsidRDefault="00F667F0" w:rsidP="007D3B6F">
      <w:pPr>
        <w:rPr>
          <w:lang w:val="lv-LV"/>
        </w:rPr>
      </w:pPr>
      <w:r w:rsidRPr="0031347E">
        <w:rPr>
          <w:lang w:val="lv-LV"/>
        </w:rPr>
        <w:t>Ieguldījum</w:t>
      </w:r>
      <w:r w:rsidR="00CD42D2" w:rsidRPr="0031347E">
        <w:rPr>
          <w:lang w:val="lv-LV"/>
        </w:rPr>
        <w:t>iem jaunu</w:t>
      </w:r>
      <w:r w:rsidRPr="0031347E">
        <w:rPr>
          <w:lang w:val="lv-LV"/>
        </w:rPr>
        <w:t xml:space="preserve"> izglītības, mācību, pētniecības, veselības aprūpes un citu pakalpojumu </w:t>
      </w:r>
      <w:r w:rsidR="00CD42D2" w:rsidRPr="0031347E">
        <w:rPr>
          <w:lang w:val="lv-LV"/>
        </w:rPr>
        <w:t>sniedzēju iestāžu izveidē var būt lietderīga</w:t>
      </w:r>
      <w:r w:rsidRPr="0031347E">
        <w:rPr>
          <w:lang w:val="lv-LV"/>
        </w:rPr>
        <w:t xml:space="preserve"> ilgtermiņa ietekm</w:t>
      </w:r>
      <w:r w:rsidR="00CD42D2" w:rsidRPr="0031347E">
        <w:rPr>
          <w:lang w:val="lv-LV"/>
        </w:rPr>
        <w:t>e</w:t>
      </w:r>
      <w:r w:rsidRPr="0031347E">
        <w:rPr>
          <w:lang w:val="lv-LV"/>
        </w:rPr>
        <w:t xml:space="preserve"> vienīgi tad, ja ir paredzēti līdzekļi nepieciešamā personāla algošanai. Jaunu pienācīgas kvalitātes darbavietu radīšana ir pretrunā stingras taupības politikai, kuras ietvaros veiktie valsts tēriņu samazinājumi ir noveduši pie em</w:t>
      </w:r>
      <w:r w:rsidR="00CD42D2" w:rsidRPr="0031347E">
        <w:rPr>
          <w:lang w:val="lv-LV"/>
        </w:rPr>
        <w:t>i</w:t>
      </w:r>
      <w:r w:rsidRPr="0031347E">
        <w:rPr>
          <w:lang w:val="lv-LV"/>
        </w:rPr>
        <w:t>grācijas un intelektuālā darba sp</w:t>
      </w:r>
      <w:r w:rsidR="00CD42D2" w:rsidRPr="0031347E">
        <w:rPr>
          <w:lang w:val="lv-LV"/>
        </w:rPr>
        <w:t>ēka</w:t>
      </w:r>
      <w:r w:rsidRPr="0031347E">
        <w:rPr>
          <w:lang w:val="lv-LV"/>
        </w:rPr>
        <w:t xml:space="preserve"> aizplūšanas. </w:t>
      </w:r>
    </w:p>
    <w:p w:rsidR="00F96755" w:rsidRPr="0031347E" w:rsidRDefault="00F96755" w:rsidP="007D3B6F">
      <w:pPr>
        <w:rPr>
          <w:lang w:val="lv-LV"/>
        </w:rPr>
      </w:pPr>
    </w:p>
    <w:p w:rsidR="00F667F0" w:rsidRPr="00A96C4E" w:rsidRDefault="001A46B0" w:rsidP="007D3B6F">
      <w:pPr>
        <w:rPr>
          <w:lang w:val="lv-LV"/>
        </w:rPr>
      </w:pPr>
      <w:r w:rsidRPr="001A46B0">
        <w:rPr>
          <w:lang w:val="lv-LV"/>
        </w:rPr>
        <w:t>Nav iespējams precīzi novērtēt i</w:t>
      </w:r>
      <w:r w:rsidR="00F667F0" w:rsidRPr="001A46B0">
        <w:rPr>
          <w:lang w:val="lv-LV"/>
        </w:rPr>
        <w:t xml:space="preserve">lgtermiņa </w:t>
      </w:r>
      <w:r w:rsidRPr="001A46B0">
        <w:rPr>
          <w:lang w:val="lv-LV"/>
        </w:rPr>
        <w:t>ietekmi pēc ieguldījumu projektu pabeigšanas</w:t>
      </w:r>
      <w:r w:rsidR="00F667F0" w:rsidRPr="001A46B0">
        <w:rPr>
          <w:lang w:val="lv-LV"/>
        </w:rPr>
        <w:t>. Ta</w:t>
      </w:r>
      <w:r w:rsidRPr="001A46B0">
        <w:rPr>
          <w:lang w:val="lv-LV"/>
        </w:rPr>
        <w:t>i</w:t>
      </w:r>
      <w:r w:rsidR="00F667F0" w:rsidRPr="001A46B0">
        <w:rPr>
          <w:lang w:val="lv-LV"/>
        </w:rPr>
        <w:t xml:space="preserve"> jābūt būtiska</w:t>
      </w:r>
      <w:r w:rsidRPr="001A46B0">
        <w:rPr>
          <w:lang w:val="lv-LV"/>
        </w:rPr>
        <w:t>i</w:t>
      </w:r>
      <w:r w:rsidR="004C3269" w:rsidRPr="001A46B0">
        <w:rPr>
          <w:lang w:val="lv-LV"/>
        </w:rPr>
        <w:t xml:space="preserve">. Piemēram, enerģijas pārveides rezultātā tiks samazinātas oglekļa dioksīda emisijas un enerģijas piegāde Eiropā tiks atsaistīta no degvielas importa, tādējādi potenciāli radot 300 </w:t>
      </w:r>
      <w:r w:rsidRPr="001A46B0">
        <w:rPr>
          <w:lang w:val="lv-LV"/>
        </w:rPr>
        <w:t>miljardus</w:t>
      </w:r>
      <w:r w:rsidR="00F7729F" w:rsidRPr="001A46B0">
        <w:rPr>
          <w:lang w:val="lv-LV"/>
        </w:rPr>
        <w:t xml:space="preserve"> lielus ietaupījumus Eiropas kur</w:t>
      </w:r>
      <w:r w:rsidR="004C3269" w:rsidRPr="001A46B0">
        <w:rPr>
          <w:lang w:val="lv-LV"/>
        </w:rPr>
        <w:t xml:space="preserve">ināmā </w:t>
      </w:r>
      <w:r w:rsidRPr="001A46B0">
        <w:rPr>
          <w:lang w:val="lv-LV"/>
        </w:rPr>
        <w:t>izmaksās</w:t>
      </w:r>
      <w:r w:rsidR="004C3269" w:rsidRPr="001A46B0">
        <w:rPr>
          <w:lang w:val="lv-LV"/>
        </w:rPr>
        <w:t>.</w:t>
      </w:r>
      <w:r w:rsidR="00F7729F" w:rsidRPr="001A46B0">
        <w:rPr>
          <w:lang w:val="lv-LV"/>
        </w:rPr>
        <w:t xml:space="preserve"> Tas ļautu Eiropai dot būtisku ieguldījumu globāl</w:t>
      </w:r>
      <w:r w:rsidRPr="001A46B0">
        <w:rPr>
          <w:lang w:val="lv-LV"/>
        </w:rPr>
        <w:t>o</w:t>
      </w:r>
      <w:r w:rsidR="00F7729F" w:rsidRPr="001A46B0">
        <w:rPr>
          <w:lang w:val="lv-LV"/>
        </w:rPr>
        <w:t xml:space="preserve"> klimata </w:t>
      </w:r>
      <w:r w:rsidRPr="001A46B0">
        <w:rPr>
          <w:lang w:val="lv-LV"/>
        </w:rPr>
        <w:t>pārmaiņu</w:t>
      </w:r>
      <w:r w:rsidR="00F7729F" w:rsidRPr="001A46B0">
        <w:rPr>
          <w:lang w:val="lv-LV"/>
        </w:rPr>
        <w:t xml:space="preserve"> ietekmes mazināšan</w:t>
      </w:r>
      <w:r w:rsidRPr="001A46B0">
        <w:rPr>
          <w:lang w:val="lv-LV"/>
        </w:rPr>
        <w:t>ā</w:t>
      </w:r>
      <w:r w:rsidR="00F7729F" w:rsidRPr="001A46B0">
        <w:rPr>
          <w:lang w:val="lv-LV"/>
        </w:rPr>
        <w:t>i un kļūt par paraugu citiem tautsaimniecības reģioniem vis</w:t>
      </w:r>
      <w:r w:rsidRPr="001A46B0">
        <w:rPr>
          <w:lang w:val="lv-LV"/>
        </w:rPr>
        <w:t>ā</w:t>
      </w:r>
      <w:r w:rsidR="00F7729F" w:rsidRPr="001A46B0">
        <w:rPr>
          <w:lang w:val="lv-LV"/>
        </w:rPr>
        <w:t xml:space="preserve"> pasaulē.</w:t>
      </w:r>
      <w:bookmarkStart w:id="0" w:name="_GoBack"/>
      <w:bookmarkEnd w:id="0"/>
    </w:p>
    <w:sectPr w:rsidR="00F667F0" w:rsidRPr="00A96C4E" w:rsidSect="00F85A9F">
      <w:footerReference w:type="even" r:id="rId9"/>
      <w:footerReference w:type="default" r:id="rId10"/>
      <w:headerReference w:type="first" r:id="rId11"/>
      <w:footerReference w:type="first" r:id="rId12"/>
      <w:pgSz w:w="11906" w:h="16838"/>
      <w:pgMar w:top="1588" w:right="1134" w:bottom="993" w:left="2268" w:header="708"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1F" w:rsidRDefault="00E60C1F">
      <w:r>
        <w:separator/>
      </w:r>
    </w:p>
  </w:endnote>
  <w:endnote w:type="continuationSeparator" w:id="0">
    <w:p w:rsidR="00E60C1F" w:rsidRDefault="00E6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Microsoft Sans Serif">
    <w:panose1 w:val="020B0604020202020204"/>
    <w:charset w:val="BA"/>
    <w:family w:val="swiss"/>
    <w:pitch w:val="variable"/>
    <w:sig w:usb0="61002BDF" w:usb1="80000000"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Whitney Medium">
    <w:altName w:val="Arial"/>
    <w:panose1 w:val="00000000000000000000"/>
    <w:charset w:val="00"/>
    <w:family w:val="modern"/>
    <w:notTrueType/>
    <w:pitch w:val="variable"/>
    <w:sig w:usb0="00000003" w:usb1="00000000" w:usb2="00000000" w:usb3="00000000" w:csb0="00000001" w:csb1="00000000"/>
  </w:font>
  <w:font w:name="Whitney Semibold">
    <w:altName w:val="Arial"/>
    <w:panose1 w:val="00000000000000000000"/>
    <w:charset w:val="00"/>
    <w:family w:val="modern"/>
    <w:notTrueType/>
    <w:pitch w:val="variable"/>
    <w:sig w:usb0="00000003" w:usb1="00000000" w:usb2="00000000" w:usb3="00000000" w:csb0="00000001" w:csb1="00000000"/>
  </w:font>
  <w:font w:name="Whitney Book">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B0" w:rsidRDefault="00314AD1" w:rsidP="00BD30B2">
    <w:pPr>
      <w:pStyle w:val="Footer"/>
      <w:framePr w:wrap="around" w:vAnchor="text" w:hAnchor="margin" w:xAlign="right" w:y="1"/>
      <w:rPr>
        <w:rStyle w:val="PageNumber"/>
      </w:rPr>
    </w:pPr>
    <w:r>
      <w:rPr>
        <w:rStyle w:val="PageNumber"/>
      </w:rPr>
      <w:fldChar w:fldCharType="begin"/>
    </w:r>
    <w:r w:rsidR="001A46B0">
      <w:rPr>
        <w:rStyle w:val="PageNumber"/>
      </w:rPr>
      <w:instrText xml:space="preserve">PAGE  </w:instrText>
    </w:r>
    <w:r>
      <w:rPr>
        <w:rStyle w:val="PageNumber"/>
      </w:rPr>
      <w:fldChar w:fldCharType="end"/>
    </w:r>
  </w:p>
  <w:p w:rsidR="001A46B0" w:rsidRDefault="001A46B0" w:rsidP="00BD3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67004"/>
      <w:docPartObj>
        <w:docPartGallery w:val="Page Numbers (Bottom of Page)"/>
        <w:docPartUnique/>
      </w:docPartObj>
    </w:sdtPr>
    <w:sdtEndPr>
      <w:rPr>
        <w:noProof/>
      </w:rPr>
    </w:sdtEndPr>
    <w:sdtContent>
      <w:p w:rsidR="001A46B0" w:rsidRDefault="00E60C1F">
        <w:pPr>
          <w:pStyle w:val="Footer"/>
          <w:jc w:val="right"/>
        </w:pPr>
        <w:r>
          <w:fldChar w:fldCharType="begin"/>
        </w:r>
        <w:r>
          <w:instrText xml:space="preserve"> PAGE   \* MERGEFORMAT </w:instrText>
        </w:r>
        <w:r>
          <w:fldChar w:fldCharType="separate"/>
        </w:r>
        <w:r w:rsidR="00721161">
          <w:rPr>
            <w:noProof/>
          </w:rPr>
          <w:t>2</w:t>
        </w:r>
        <w:r>
          <w:rPr>
            <w:noProof/>
          </w:rPr>
          <w:fldChar w:fldCharType="end"/>
        </w:r>
      </w:p>
    </w:sdtContent>
  </w:sdt>
  <w:p w:rsidR="001A46B0" w:rsidRDefault="001A46B0" w:rsidP="00762539">
    <w:pPr>
      <w:pStyle w:val="Footer"/>
    </w:pPr>
    <w:r>
      <w:t>ETUC/BS/lw-07/11/2013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B0" w:rsidRPr="00CD73CE" w:rsidRDefault="00721161" w:rsidP="00CD73CE">
    <w:pPr>
      <w:widowControl w:val="0"/>
      <w:jc w:val="left"/>
      <w:rPr>
        <w:rFonts w:cs="Arial"/>
      </w:rPr>
    </w:pPr>
    <w:r>
      <w:rPr>
        <w:noProof/>
        <w:lang w:val="lv-LV" w:eastAsia="lv-LV"/>
      </w:rPr>
      <mc:AlternateContent>
        <mc:Choice Requires="wps">
          <w:drawing>
            <wp:anchor distT="0" distB="0" distL="114300" distR="114300" simplePos="0" relativeHeight="251656704" behindDoc="0" locked="0" layoutInCell="1" allowOverlap="1">
              <wp:simplePos x="0" y="0"/>
              <wp:positionH relativeFrom="column">
                <wp:posOffset>-716280</wp:posOffset>
              </wp:positionH>
              <wp:positionV relativeFrom="page">
                <wp:posOffset>10233660</wp:posOffset>
              </wp:positionV>
              <wp:extent cx="6224270" cy="154305"/>
              <wp:effectExtent l="0" t="0" r="5080" b="1714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6B0" w:rsidRPr="00F85A9F" w:rsidRDefault="001A46B0" w:rsidP="00F85A9F">
                          <w:pPr>
                            <w:pStyle w:val="Footer"/>
                            <w:jc w:val="center"/>
                            <w:rPr>
                              <w:lang w:val="en-US"/>
                            </w:rPr>
                          </w:pPr>
                          <w:r w:rsidRPr="00F85A9F">
                            <w:rPr>
                              <w:lang w:val="en-US"/>
                            </w:rPr>
                            <w:t>European Trade Union Confederation  |  Bernadette Ségol, General Secretary |  Bld du Roi Albert II, 5, B - 1210 Brussels  |  +32 (0)2 224 04 11  |  etuc@etuc.org  |  www.etuc.org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4pt;margin-top:805.8pt;width:490.1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LG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2IyDIAwWcFTCmR+Fl15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" filled="f" stroked="f">
              <v:textbox inset="0,0,0,0">
                <w:txbxContent>
                  <w:p w:rsidR="001A46B0" w:rsidRPr="00F85A9F" w:rsidRDefault="001A46B0" w:rsidP="00F85A9F">
                    <w:pPr>
                      <w:pStyle w:val="Footer"/>
                      <w:jc w:val="center"/>
                      <w:rPr>
                        <w:lang w:val="en-US"/>
                      </w:rPr>
                    </w:pPr>
                    <w:r w:rsidRPr="00F85A9F">
                      <w:rPr>
                        <w:lang w:val="en-US"/>
                      </w:rPr>
                      <w:t>European Trade Union Confederation  |  Bernadette Ségol, General Secretary |  Bld du Roi Albert II, 5, B - 1210 Brussels  |  +32 (0)2 224 04 11  |  etuc@etuc.org  |  www.etuc.org</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1F" w:rsidRDefault="00E60C1F">
      <w:r>
        <w:separator/>
      </w:r>
    </w:p>
  </w:footnote>
  <w:footnote w:type="continuationSeparator" w:id="0">
    <w:p w:rsidR="00E60C1F" w:rsidRDefault="00E6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B0" w:rsidRDefault="001A46B0">
    <w:r>
      <w:rPr>
        <w:noProof/>
        <w:lang w:val="lv-LV" w:eastAsia="lv-LV"/>
      </w:rPr>
      <w:drawing>
        <wp:anchor distT="0" distB="0" distL="114300" distR="114300" simplePos="0" relativeHeight="251658752" behindDoc="1" locked="0" layoutInCell="1" allowOverlap="0">
          <wp:simplePos x="0" y="0"/>
          <wp:positionH relativeFrom="page">
            <wp:posOffset>292735</wp:posOffset>
          </wp:positionH>
          <wp:positionV relativeFrom="page">
            <wp:posOffset>424180</wp:posOffset>
          </wp:positionV>
          <wp:extent cx="1219200" cy="605155"/>
          <wp:effectExtent l="0" t="0" r="0" b="4445"/>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5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0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A49B0C"/>
    <w:lvl w:ilvl="0">
      <w:start w:val="1"/>
      <w:numFmt w:val="decimal"/>
      <w:lvlText w:val="%1."/>
      <w:lvlJc w:val="left"/>
      <w:pPr>
        <w:tabs>
          <w:tab w:val="num" w:pos="1492"/>
        </w:tabs>
        <w:ind w:left="1492" w:hanging="360"/>
      </w:pPr>
    </w:lvl>
  </w:abstractNum>
  <w:abstractNum w:abstractNumId="2">
    <w:nsid w:val="FFFFFF7D"/>
    <w:multiLevelType w:val="singleLevel"/>
    <w:tmpl w:val="289C5F3E"/>
    <w:lvl w:ilvl="0">
      <w:start w:val="1"/>
      <w:numFmt w:val="decimal"/>
      <w:lvlText w:val="%1."/>
      <w:lvlJc w:val="left"/>
      <w:pPr>
        <w:tabs>
          <w:tab w:val="num" w:pos="1209"/>
        </w:tabs>
        <w:ind w:left="1209" w:hanging="360"/>
      </w:pPr>
    </w:lvl>
  </w:abstractNum>
  <w:abstractNum w:abstractNumId="3">
    <w:nsid w:val="FFFFFF7E"/>
    <w:multiLevelType w:val="singleLevel"/>
    <w:tmpl w:val="73DC5226"/>
    <w:lvl w:ilvl="0">
      <w:start w:val="1"/>
      <w:numFmt w:val="decimal"/>
      <w:lvlText w:val="%1."/>
      <w:lvlJc w:val="left"/>
      <w:pPr>
        <w:tabs>
          <w:tab w:val="num" w:pos="926"/>
        </w:tabs>
        <w:ind w:left="926" w:hanging="360"/>
      </w:pPr>
    </w:lvl>
  </w:abstractNum>
  <w:abstractNum w:abstractNumId="4">
    <w:nsid w:val="FFFFFF7F"/>
    <w:multiLevelType w:val="singleLevel"/>
    <w:tmpl w:val="F2B80D5A"/>
    <w:lvl w:ilvl="0">
      <w:start w:val="1"/>
      <w:numFmt w:val="decimal"/>
      <w:lvlText w:val="%1."/>
      <w:lvlJc w:val="left"/>
      <w:pPr>
        <w:tabs>
          <w:tab w:val="num" w:pos="643"/>
        </w:tabs>
        <w:ind w:left="643" w:hanging="360"/>
      </w:pPr>
    </w:lvl>
  </w:abstractNum>
  <w:abstractNum w:abstractNumId="5">
    <w:nsid w:val="FFFFFF80"/>
    <w:multiLevelType w:val="singleLevel"/>
    <w:tmpl w:val="4B1496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28A49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8B6A92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23E44FDE"/>
    <w:lvl w:ilvl="0">
      <w:start w:val="1"/>
      <w:numFmt w:val="bullet"/>
      <w:lvlText w:val="o"/>
      <w:lvlJc w:val="left"/>
      <w:pPr>
        <w:tabs>
          <w:tab w:val="num" w:pos="851"/>
        </w:tabs>
        <w:ind w:left="851" w:hanging="284"/>
      </w:pPr>
      <w:rPr>
        <w:rFonts w:ascii="Courier New" w:hAnsi="Courier New" w:hint="default"/>
        <w:sz w:val="14"/>
        <w:szCs w:val="14"/>
      </w:rPr>
    </w:lvl>
  </w:abstractNum>
  <w:abstractNum w:abstractNumId="9">
    <w:nsid w:val="FFFFFF88"/>
    <w:multiLevelType w:val="singleLevel"/>
    <w:tmpl w:val="B1104D5A"/>
    <w:lvl w:ilvl="0">
      <w:start w:val="1"/>
      <w:numFmt w:val="decimal"/>
      <w:lvlText w:val="%1."/>
      <w:lvlJc w:val="left"/>
      <w:pPr>
        <w:tabs>
          <w:tab w:val="num" w:pos="360"/>
        </w:tabs>
        <w:ind w:left="360" w:hanging="360"/>
      </w:pPr>
    </w:lvl>
  </w:abstractNum>
  <w:abstractNum w:abstractNumId="10">
    <w:nsid w:val="FFFFFF89"/>
    <w:multiLevelType w:val="singleLevel"/>
    <w:tmpl w:val="8C703562"/>
    <w:lvl w:ilvl="0">
      <w:start w:val="1"/>
      <w:numFmt w:val="bullet"/>
      <w:pStyle w:val="ListBullet"/>
      <w:lvlText w:val=""/>
      <w:lvlJc w:val="left"/>
      <w:pPr>
        <w:tabs>
          <w:tab w:val="num" w:pos="567"/>
        </w:tabs>
        <w:ind w:left="567" w:hanging="283"/>
      </w:pPr>
      <w:rPr>
        <w:rFonts w:ascii="Symbol" w:hAnsi="Symbol" w:hint="default"/>
        <w:color w:val="DC0714"/>
        <w:sz w:val="24"/>
        <w:szCs w:val="24"/>
      </w:rPr>
    </w:lvl>
  </w:abstractNum>
  <w:abstractNum w:abstractNumId="11">
    <w:nsid w:val="227C3078"/>
    <w:multiLevelType w:val="multilevel"/>
    <w:tmpl w:val="DDDE1510"/>
    <w:lvl w:ilvl="0">
      <w:start w:val="1"/>
      <w:numFmt w:val="lowerLetter"/>
      <w:pStyle w:val="List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26D60679"/>
    <w:multiLevelType w:val="multilevel"/>
    <w:tmpl w:val="D3A88EB4"/>
    <w:lvl w:ilvl="0">
      <w:start w:val="1"/>
      <w:numFmt w:val="decimal"/>
      <w:pStyle w:val="ListNumber"/>
      <w:lvlText w:val="%1."/>
      <w:lvlJc w:val="left"/>
      <w:pPr>
        <w:ind w:left="360" w:hanging="360"/>
      </w:pPr>
      <w:rPr>
        <w:rFonts w:hint="default"/>
      </w:rPr>
    </w:lvl>
    <w:lvl w:ilvl="1">
      <w:start w:val="1"/>
      <w:numFmt w:val="decimal"/>
      <w:pStyle w:val="ListNumber2X"/>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3D6B12"/>
    <w:multiLevelType w:val="hybridMultilevel"/>
    <w:tmpl w:val="E95E4B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2BB3049"/>
    <w:multiLevelType w:val="hybridMultilevel"/>
    <w:tmpl w:val="26340E6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473877FE"/>
    <w:multiLevelType w:val="hybridMultilevel"/>
    <w:tmpl w:val="596CEC6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4E27746D"/>
    <w:multiLevelType w:val="hybridMultilevel"/>
    <w:tmpl w:val="75ACB9D8"/>
    <w:lvl w:ilvl="0" w:tplc="C66C96F2">
      <w:start w:val="1"/>
      <w:numFmt w:val="bullet"/>
      <w:pStyle w:val="ListBullet2"/>
      <w:lvlText w:val="o"/>
      <w:lvlJc w:val="left"/>
      <w:pPr>
        <w:tabs>
          <w:tab w:val="num" w:pos="851"/>
        </w:tabs>
        <w:ind w:left="851" w:hanging="284"/>
      </w:pPr>
      <w:rPr>
        <w:rFonts w:ascii="Courier New" w:hAnsi="Courier New" w:hint="default"/>
        <w:sz w:val="14"/>
        <w:szCs w:val="14"/>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53A23888"/>
    <w:multiLevelType w:val="hybridMultilevel"/>
    <w:tmpl w:val="13700E80"/>
    <w:lvl w:ilvl="0" w:tplc="75F6C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5C1E83"/>
    <w:multiLevelType w:val="hybridMultilevel"/>
    <w:tmpl w:val="8A044C62"/>
    <w:lvl w:ilvl="0" w:tplc="B14E7FCC">
      <w:start w:val="1"/>
      <w:numFmt w:val="decimal"/>
      <w:pStyle w:val="List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65D56658"/>
    <w:multiLevelType w:val="hybridMultilevel"/>
    <w:tmpl w:val="2B108C5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0">
    <w:nsid w:val="6FA14D9D"/>
    <w:multiLevelType w:val="hybridMultilevel"/>
    <w:tmpl w:val="21FE6DE4"/>
    <w:lvl w:ilvl="0" w:tplc="4AA04678">
      <w:start w:val="1"/>
      <w:numFmt w:val="bullet"/>
      <w:pStyle w:val="listtir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646E2B"/>
    <w:multiLevelType w:val="hybridMultilevel"/>
    <w:tmpl w:val="60200ECE"/>
    <w:lvl w:ilvl="0" w:tplc="46E05BA0">
      <w:start w:val="1"/>
      <w:numFmt w:val="upperLetter"/>
      <w:lvlText w:val="%1."/>
      <w:lvlJc w:val="left"/>
      <w:pPr>
        <w:ind w:left="1409" w:hanging="360"/>
      </w:pPr>
      <w:rPr>
        <w:rFonts w:hint="default"/>
      </w:rPr>
    </w:lvl>
    <w:lvl w:ilvl="1" w:tplc="08090019" w:tentative="1">
      <w:start w:val="1"/>
      <w:numFmt w:val="lowerLetter"/>
      <w:lvlText w:val="%2."/>
      <w:lvlJc w:val="left"/>
      <w:pPr>
        <w:ind w:left="2129" w:hanging="360"/>
      </w:pPr>
    </w:lvl>
    <w:lvl w:ilvl="2" w:tplc="0809001B" w:tentative="1">
      <w:start w:val="1"/>
      <w:numFmt w:val="lowerRoman"/>
      <w:lvlText w:val="%3."/>
      <w:lvlJc w:val="right"/>
      <w:pPr>
        <w:ind w:left="2849" w:hanging="180"/>
      </w:pPr>
    </w:lvl>
    <w:lvl w:ilvl="3" w:tplc="0809000F" w:tentative="1">
      <w:start w:val="1"/>
      <w:numFmt w:val="decimal"/>
      <w:lvlText w:val="%4."/>
      <w:lvlJc w:val="left"/>
      <w:pPr>
        <w:ind w:left="3569" w:hanging="360"/>
      </w:pPr>
    </w:lvl>
    <w:lvl w:ilvl="4" w:tplc="08090019" w:tentative="1">
      <w:start w:val="1"/>
      <w:numFmt w:val="lowerLetter"/>
      <w:lvlText w:val="%5."/>
      <w:lvlJc w:val="left"/>
      <w:pPr>
        <w:ind w:left="4289" w:hanging="360"/>
      </w:pPr>
    </w:lvl>
    <w:lvl w:ilvl="5" w:tplc="0809001B" w:tentative="1">
      <w:start w:val="1"/>
      <w:numFmt w:val="lowerRoman"/>
      <w:lvlText w:val="%6."/>
      <w:lvlJc w:val="right"/>
      <w:pPr>
        <w:ind w:left="5009" w:hanging="180"/>
      </w:pPr>
    </w:lvl>
    <w:lvl w:ilvl="6" w:tplc="0809000F" w:tentative="1">
      <w:start w:val="1"/>
      <w:numFmt w:val="decimal"/>
      <w:lvlText w:val="%7."/>
      <w:lvlJc w:val="left"/>
      <w:pPr>
        <w:ind w:left="5729" w:hanging="360"/>
      </w:pPr>
    </w:lvl>
    <w:lvl w:ilvl="7" w:tplc="08090019" w:tentative="1">
      <w:start w:val="1"/>
      <w:numFmt w:val="lowerLetter"/>
      <w:lvlText w:val="%8."/>
      <w:lvlJc w:val="left"/>
      <w:pPr>
        <w:ind w:left="6449" w:hanging="360"/>
      </w:pPr>
    </w:lvl>
    <w:lvl w:ilvl="8" w:tplc="0809001B" w:tentative="1">
      <w:start w:val="1"/>
      <w:numFmt w:val="lowerRoman"/>
      <w:lvlText w:val="%9."/>
      <w:lvlJc w:val="right"/>
      <w:pPr>
        <w:ind w:left="7169" w:hanging="180"/>
      </w:pPr>
    </w:lvl>
  </w:abstractNum>
  <w:abstractNum w:abstractNumId="22">
    <w:nsid w:val="79A805A7"/>
    <w:multiLevelType w:val="multilevel"/>
    <w:tmpl w:val="040C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8478DA"/>
    <w:multiLevelType w:val="hybridMultilevel"/>
    <w:tmpl w:val="22BE1C54"/>
    <w:lvl w:ilvl="0" w:tplc="12EC2A7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AE74BDA"/>
    <w:multiLevelType w:val="hybridMultilevel"/>
    <w:tmpl w:val="7B248A5A"/>
    <w:lvl w:ilvl="0" w:tplc="54325F8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3"/>
  </w:num>
  <w:num w:numId="15">
    <w:abstractNumId w:val="17"/>
  </w:num>
  <w:num w:numId="16">
    <w:abstractNumId w:val="22"/>
  </w:num>
  <w:num w:numId="17">
    <w:abstractNumId w:val="15"/>
  </w:num>
  <w:num w:numId="18">
    <w:abstractNumId w:val="16"/>
  </w:num>
  <w:num w:numId="19">
    <w:abstractNumId w:val="9"/>
  </w:num>
  <w:num w:numId="20">
    <w:abstractNumId w:val="11"/>
  </w:num>
  <w:num w:numId="21">
    <w:abstractNumId w:val="18"/>
  </w:num>
  <w:num w:numId="22">
    <w:abstractNumId w:val="12"/>
  </w:num>
  <w:num w:numId="23">
    <w:abstractNumId w:val="20"/>
  </w:num>
  <w:num w:numId="24">
    <w:abstractNumId w:val="18"/>
  </w:num>
  <w:num w:numId="25">
    <w:abstractNumId w:val="12"/>
  </w:num>
  <w:num w:numId="26">
    <w:abstractNumId w:val="12"/>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4"/>
  </w:num>
  <w:num w:numId="31">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720"/>
  <w:consecutiveHyphenLimit w:val="2"/>
  <w:hyphenationZone w:val="425"/>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55"/>
    <w:rsid w:val="00011730"/>
    <w:rsid w:val="000259B5"/>
    <w:rsid w:val="000324F7"/>
    <w:rsid w:val="0004302D"/>
    <w:rsid w:val="000443F9"/>
    <w:rsid w:val="00044ED5"/>
    <w:rsid w:val="00050043"/>
    <w:rsid w:val="00057CC9"/>
    <w:rsid w:val="000779F4"/>
    <w:rsid w:val="000856AC"/>
    <w:rsid w:val="000A03BE"/>
    <w:rsid w:val="000A0BCE"/>
    <w:rsid w:val="000A245D"/>
    <w:rsid w:val="000C719D"/>
    <w:rsid w:val="000E20ED"/>
    <w:rsid w:val="000E69AA"/>
    <w:rsid w:val="000F361F"/>
    <w:rsid w:val="000F7274"/>
    <w:rsid w:val="000F7BAD"/>
    <w:rsid w:val="00107B42"/>
    <w:rsid w:val="00130050"/>
    <w:rsid w:val="00132C63"/>
    <w:rsid w:val="00136991"/>
    <w:rsid w:val="00156910"/>
    <w:rsid w:val="00162986"/>
    <w:rsid w:val="00163782"/>
    <w:rsid w:val="00175CA4"/>
    <w:rsid w:val="00183988"/>
    <w:rsid w:val="001A4526"/>
    <w:rsid w:val="001A46B0"/>
    <w:rsid w:val="001B5027"/>
    <w:rsid w:val="001F5F5B"/>
    <w:rsid w:val="00203705"/>
    <w:rsid w:val="00206557"/>
    <w:rsid w:val="00210F6D"/>
    <w:rsid w:val="002144C9"/>
    <w:rsid w:val="002173E3"/>
    <w:rsid w:val="00223F5B"/>
    <w:rsid w:val="00225E64"/>
    <w:rsid w:val="00243FBA"/>
    <w:rsid w:val="00265FEE"/>
    <w:rsid w:val="00273A54"/>
    <w:rsid w:val="00280E11"/>
    <w:rsid w:val="00283642"/>
    <w:rsid w:val="002A3C6B"/>
    <w:rsid w:val="002A600B"/>
    <w:rsid w:val="002B392E"/>
    <w:rsid w:val="002C26CF"/>
    <w:rsid w:val="002C7B05"/>
    <w:rsid w:val="002D7563"/>
    <w:rsid w:val="002E6F3F"/>
    <w:rsid w:val="002F1E73"/>
    <w:rsid w:val="002F5D35"/>
    <w:rsid w:val="002F63FF"/>
    <w:rsid w:val="00302864"/>
    <w:rsid w:val="00302EA7"/>
    <w:rsid w:val="00303921"/>
    <w:rsid w:val="0031347E"/>
    <w:rsid w:val="00314AD1"/>
    <w:rsid w:val="003261FF"/>
    <w:rsid w:val="00327473"/>
    <w:rsid w:val="00332992"/>
    <w:rsid w:val="0033395C"/>
    <w:rsid w:val="00343279"/>
    <w:rsid w:val="003555D6"/>
    <w:rsid w:val="00361A27"/>
    <w:rsid w:val="00361F58"/>
    <w:rsid w:val="0036453B"/>
    <w:rsid w:val="00365DBD"/>
    <w:rsid w:val="00366F90"/>
    <w:rsid w:val="003832D1"/>
    <w:rsid w:val="003B2EBC"/>
    <w:rsid w:val="003C2956"/>
    <w:rsid w:val="003D3350"/>
    <w:rsid w:val="003D3F9C"/>
    <w:rsid w:val="003D4CC8"/>
    <w:rsid w:val="003D7C95"/>
    <w:rsid w:val="003E5C85"/>
    <w:rsid w:val="003E5FCE"/>
    <w:rsid w:val="003F0A3E"/>
    <w:rsid w:val="003F0D11"/>
    <w:rsid w:val="00406A35"/>
    <w:rsid w:val="00420D5D"/>
    <w:rsid w:val="00446E01"/>
    <w:rsid w:val="00451A0B"/>
    <w:rsid w:val="0047446F"/>
    <w:rsid w:val="00486EFB"/>
    <w:rsid w:val="004B02F0"/>
    <w:rsid w:val="004B4AD0"/>
    <w:rsid w:val="004B6D91"/>
    <w:rsid w:val="004B74BD"/>
    <w:rsid w:val="004C0B0C"/>
    <w:rsid w:val="004C3269"/>
    <w:rsid w:val="004D2EBD"/>
    <w:rsid w:val="00530A2F"/>
    <w:rsid w:val="00533277"/>
    <w:rsid w:val="00540C82"/>
    <w:rsid w:val="00541907"/>
    <w:rsid w:val="0054419B"/>
    <w:rsid w:val="00544D47"/>
    <w:rsid w:val="00565223"/>
    <w:rsid w:val="005779DE"/>
    <w:rsid w:val="00582A4E"/>
    <w:rsid w:val="00583204"/>
    <w:rsid w:val="00585A5D"/>
    <w:rsid w:val="00586007"/>
    <w:rsid w:val="00591023"/>
    <w:rsid w:val="005A35C9"/>
    <w:rsid w:val="005A5014"/>
    <w:rsid w:val="005B71C1"/>
    <w:rsid w:val="005C2572"/>
    <w:rsid w:val="005D00E4"/>
    <w:rsid w:val="005D05FB"/>
    <w:rsid w:val="005D4D00"/>
    <w:rsid w:val="005D55DF"/>
    <w:rsid w:val="00611211"/>
    <w:rsid w:val="00664E75"/>
    <w:rsid w:val="006744EC"/>
    <w:rsid w:val="00676592"/>
    <w:rsid w:val="0068063F"/>
    <w:rsid w:val="0068456F"/>
    <w:rsid w:val="00697B3E"/>
    <w:rsid w:val="006A3DD0"/>
    <w:rsid w:val="006A48C2"/>
    <w:rsid w:val="006B44F6"/>
    <w:rsid w:val="006C47EA"/>
    <w:rsid w:val="006F1B7D"/>
    <w:rsid w:val="006F3024"/>
    <w:rsid w:val="00702D55"/>
    <w:rsid w:val="00711308"/>
    <w:rsid w:val="007146B7"/>
    <w:rsid w:val="00721161"/>
    <w:rsid w:val="007410D4"/>
    <w:rsid w:val="0074509C"/>
    <w:rsid w:val="00746266"/>
    <w:rsid w:val="00762539"/>
    <w:rsid w:val="00763094"/>
    <w:rsid w:val="00764C42"/>
    <w:rsid w:val="007657E3"/>
    <w:rsid w:val="00771013"/>
    <w:rsid w:val="00773AE2"/>
    <w:rsid w:val="00780EE7"/>
    <w:rsid w:val="00783603"/>
    <w:rsid w:val="00784BA0"/>
    <w:rsid w:val="00794573"/>
    <w:rsid w:val="0079547C"/>
    <w:rsid w:val="0079552D"/>
    <w:rsid w:val="007A36E4"/>
    <w:rsid w:val="007A6235"/>
    <w:rsid w:val="007B1F0D"/>
    <w:rsid w:val="007B5EF9"/>
    <w:rsid w:val="007B6153"/>
    <w:rsid w:val="007C0483"/>
    <w:rsid w:val="007C6D87"/>
    <w:rsid w:val="007D3114"/>
    <w:rsid w:val="007D3AA3"/>
    <w:rsid w:val="007D3B6F"/>
    <w:rsid w:val="007E0BEC"/>
    <w:rsid w:val="007E0E5B"/>
    <w:rsid w:val="007E61EF"/>
    <w:rsid w:val="007F6C02"/>
    <w:rsid w:val="007F7ACD"/>
    <w:rsid w:val="008110B1"/>
    <w:rsid w:val="00820B45"/>
    <w:rsid w:val="00824265"/>
    <w:rsid w:val="00827047"/>
    <w:rsid w:val="0083245B"/>
    <w:rsid w:val="00835F66"/>
    <w:rsid w:val="008575F2"/>
    <w:rsid w:val="00861174"/>
    <w:rsid w:val="008650A0"/>
    <w:rsid w:val="00875BB8"/>
    <w:rsid w:val="00876368"/>
    <w:rsid w:val="00877F7E"/>
    <w:rsid w:val="008844B7"/>
    <w:rsid w:val="00891D4A"/>
    <w:rsid w:val="008A678F"/>
    <w:rsid w:val="008B0A1C"/>
    <w:rsid w:val="008B3DCA"/>
    <w:rsid w:val="008B4C40"/>
    <w:rsid w:val="008C1D72"/>
    <w:rsid w:val="008C49C1"/>
    <w:rsid w:val="008C79A7"/>
    <w:rsid w:val="008D2868"/>
    <w:rsid w:val="008D36B9"/>
    <w:rsid w:val="008E6D70"/>
    <w:rsid w:val="008F0750"/>
    <w:rsid w:val="008F3684"/>
    <w:rsid w:val="009054AE"/>
    <w:rsid w:val="00924684"/>
    <w:rsid w:val="00927451"/>
    <w:rsid w:val="009435B1"/>
    <w:rsid w:val="009439C5"/>
    <w:rsid w:val="0095440D"/>
    <w:rsid w:val="00971117"/>
    <w:rsid w:val="00983866"/>
    <w:rsid w:val="00986F26"/>
    <w:rsid w:val="00993C7B"/>
    <w:rsid w:val="009948D8"/>
    <w:rsid w:val="009A55AB"/>
    <w:rsid w:val="009A783C"/>
    <w:rsid w:val="009B237F"/>
    <w:rsid w:val="009B3F94"/>
    <w:rsid w:val="009B4D35"/>
    <w:rsid w:val="009D0437"/>
    <w:rsid w:val="00A3477C"/>
    <w:rsid w:val="00A4195E"/>
    <w:rsid w:val="00A47B4D"/>
    <w:rsid w:val="00A65511"/>
    <w:rsid w:val="00A6720D"/>
    <w:rsid w:val="00A91BBC"/>
    <w:rsid w:val="00A96C4E"/>
    <w:rsid w:val="00AB4B92"/>
    <w:rsid w:val="00AE3295"/>
    <w:rsid w:val="00AF47C2"/>
    <w:rsid w:val="00B04444"/>
    <w:rsid w:val="00B324DD"/>
    <w:rsid w:val="00B42E81"/>
    <w:rsid w:val="00B502F6"/>
    <w:rsid w:val="00B53F26"/>
    <w:rsid w:val="00B61BBC"/>
    <w:rsid w:val="00B67246"/>
    <w:rsid w:val="00B77559"/>
    <w:rsid w:val="00B84467"/>
    <w:rsid w:val="00B87CBF"/>
    <w:rsid w:val="00BB1A52"/>
    <w:rsid w:val="00BC29DD"/>
    <w:rsid w:val="00BC3B35"/>
    <w:rsid w:val="00BC3C13"/>
    <w:rsid w:val="00BC4C93"/>
    <w:rsid w:val="00BD2CA3"/>
    <w:rsid w:val="00BD30B2"/>
    <w:rsid w:val="00BE3D76"/>
    <w:rsid w:val="00BE70AC"/>
    <w:rsid w:val="00BF3B1D"/>
    <w:rsid w:val="00BF4C94"/>
    <w:rsid w:val="00BF72AF"/>
    <w:rsid w:val="00C06067"/>
    <w:rsid w:val="00C14075"/>
    <w:rsid w:val="00C22735"/>
    <w:rsid w:val="00C22DE3"/>
    <w:rsid w:val="00C25A36"/>
    <w:rsid w:val="00C307C2"/>
    <w:rsid w:val="00C554D4"/>
    <w:rsid w:val="00C64B3B"/>
    <w:rsid w:val="00C7119B"/>
    <w:rsid w:val="00C74471"/>
    <w:rsid w:val="00C760A3"/>
    <w:rsid w:val="00C807AB"/>
    <w:rsid w:val="00C81208"/>
    <w:rsid w:val="00C81400"/>
    <w:rsid w:val="00C92E63"/>
    <w:rsid w:val="00C94A69"/>
    <w:rsid w:val="00CA6A3B"/>
    <w:rsid w:val="00CC356D"/>
    <w:rsid w:val="00CC4606"/>
    <w:rsid w:val="00CD1455"/>
    <w:rsid w:val="00CD42D2"/>
    <w:rsid w:val="00CD48EA"/>
    <w:rsid w:val="00CD5816"/>
    <w:rsid w:val="00CD73CE"/>
    <w:rsid w:val="00CE58C0"/>
    <w:rsid w:val="00CF00AA"/>
    <w:rsid w:val="00CF407F"/>
    <w:rsid w:val="00D1022A"/>
    <w:rsid w:val="00D10E45"/>
    <w:rsid w:val="00D111A0"/>
    <w:rsid w:val="00D21494"/>
    <w:rsid w:val="00D3405F"/>
    <w:rsid w:val="00D357B6"/>
    <w:rsid w:val="00D42210"/>
    <w:rsid w:val="00D5371E"/>
    <w:rsid w:val="00D6036D"/>
    <w:rsid w:val="00D838A3"/>
    <w:rsid w:val="00D91F82"/>
    <w:rsid w:val="00D9750D"/>
    <w:rsid w:val="00DA18B7"/>
    <w:rsid w:val="00DA454B"/>
    <w:rsid w:val="00DB04E7"/>
    <w:rsid w:val="00DC3BAE"/>
    <w:rsid w:val="00DD2A84"/>
    <w:rsid w:val="00DD452B"/>
    <w:rsid w:val="00DE5B12"/>
    <w:rsid w:val="00E21D27"/>
    <w:rsid w:val="00E23EC9"/>
    <w:rsid w:val="00E24E13"/>
    <w:rsid w:val="00E43170"/>
    <w:rsid w:val="00E4443B"/>
    <w:rsid w:val="00E47B9E"/>
    <w:rsid w:val="00E55F72"/>
    <w:rsid w:val="00E60C1F"/>
    <w:rsid w:val="00E62712"/>
    <w:rsid w:val="00E7411D"/>
    <w:rsid w:val="00E82D6A"/>
    <w:rsid w:val="00E95B89"/>
    <w:rsid w:val="00EA4225"/>
    <w:rsid w:val="00EC4420"/>
    <w:rsid w:val="00ED60C2"/>
    <w:rsid w:val="00EE18F4"/>
    <w:rsid w:val="00EE1932"/>
    <w:rsid w:val="00EE20D1"/>
    <w:rsid w:val="00EE7260"/>
    <w:rsid w:val="00EE7CAB"/>
    <w:rsid w:val="00EF503E"/>
    <w:rsid w:val="00F026C9"/>
    <w:rsid w:val="00F234C6"/>
    <w:rsid w:val="00F23C3E"/>
    <w:rsid w:val="00F25379"/>
    <w:rsid w:val="00F25DA1"/>
    <w:rsid w:val="00F35B8D"/>
    <w:rsid w:val="00F56945"/>
    <w:rsid w:val="00F60885"/>
    <w:rsid w:val="00F667F0"/>
    <w:rsid w:val="00F7729F"/>
    <w:rsid w:val="00F8508B"/>
    <w:rsid w:val="00F85A9F"/>
    <w:rsid w:val="00F90C96"/>
    <w:rsid w:val="00F96755"/>
    <w:rsid w:val="00FB6927"/>
    <w:rsid w:val="00FC375F"/>
    <w:rsid w:val="00FC76DB"/>
    <w:rsid w:val="00FD791E"/>
    <w:rsid w:val="00FE1270"/>
    <w:rsid w:val="00FF0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1" w:defUIPriority="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lsdException w:name="heading 3" w:locked="0" w:uiPriority="3"/>
    <w:lsdException w:name="heading 4" w:locked="0" w:uiPriority="0"/>
    <w:lsdException w:name="heading 5" w:locked="0" w:uiPriority="0"/>
    <w:lsdException w:name="heading 7" w:uiPriority="0" w:qFormat="1"/>
    <w:lsdException w:name="heading 8" w:uiPriority="0" w:qFormat="1"/>
    <w:lsdException w:name="heading 9" w:uiPriority="0" w:qFormat="1"/>
    <w:lsdException w:name="footnote text" w:locked="0" w:uiPriority="0"/>
    <w:lsdException w:name="header" w:locked="0" w:uiPriority="0"/>
    <w:lsdException w:name="footer" w:locked="0" w:uiPriority="99"/>
    <w:lsdException w:name="caption" w:uiPriority="0" w:qFormat="1"/>
    <w:lsdException w:name="footnote reference" w:locked="0" w:uiPriority="0"/>
    <w:lsdException w:name="page number" w:locked="0" w:uiPriority="0"/>
    <w:lsdException w:name="List Bullet" w:locked="0" w:uiPriority="5" w:qFormat="1"/>
    <w:lsdException w:name="List Number" w:locked="0" w:semiHidden="0" w:uiPriority="5" w:unhideWhenUsed="0" w:qFormat="1"/>
    <w:lsdException w:name="List 4" w:semiHidden="0" w:unhideWhenUsed="0"/>
    <w:lsdException w:name="List 5" w:semiHidden="0" w:unhideWhenUsed="0"/>
    <w:lsdException w:name="List Bullet 2" w:locked="0" w:uiPriority="0"/>
    <w:lsdException w:name="List Bullet 3" w:locked="0" w:uiPriority="0"/>
    <w:lsdException w:name="List Bullet 4" w:uiPriority="5"/>
    <w:lsdException w:name="List Number 2" w:locked="0" w:uiPriority="5"/>
    <w:lsdException w:name="List Number 3" w:locked="0" w:uiPriority="5"/>
    <w:lsdException w:name="List Number 4" w:locked="0" w:uiPriority="5"/>
    <w:lsdException w:name="List Number 5" w:locked="0" w:uiPriority="5"/>
    <w:lsdException w:name="Title" w:semiHidden="0" w:uiPriority="0" w:unhideWhenUsed="0"/>
    <w:lsdException w:name="Default Paragraph Font" w:locked="0" w:uiPriority="0"/>
    <w:lsdException w:name="Subtitle" w:semiHidden="0" w:unhideWhenUsed="0"/>
    <w:lsdException w:name="Salutation" w:semiHidden="0" w:unhideWhenUsed="0"/>
    <w:lsdException w:name="Date" w:locked="0" w:semiHidden="0" w:unhideWhenUsed="0"/>
    <w:lsdException w:name="Body Text First Indent" w:semiHidden="0" w:unhideWhenUsed="0"/>
    <w:lsdException w:name="Hyperlink" w:locked="0" w:uiPriority="0"/>
    <w:lsdException w:name="Strong" w:locked="0" w:uiPriority="22" w:unhideWhenUsed="0" w:qFormat="1"/>
    <w:lsdException w:name="Emphasis" w:semiHidden="0" w:unhideWhenUsed="0"/>
    <w:lsdException w:name="Plain Text" w:uiPriority="99"/>
    <w:lsdException w:name="HTML Top of Form" w:locked="0" w:uiPriority="0"/>
    <w:lsdException w:name="HTML Bottom of Form" w:locked="0" w:uiPriority="0"/>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locked="0" w:semiHidden="0" w:uiPriority="0" w:unhideWhenUsed="0"/>
    <w:lsdException w:name="Table Theme" w:uiPriority="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locked="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
    <w:qFormat/>
    <w:rsid w:val="00EE18F4"/>
    <w:pPr>
      <w:spacing w:line="240" w:lineRule="exact"/>
      <w:jc w:val="both"/>
    </w:pPr>
  </w:style>
  <w:style w:type="paragraph" w:styleId="Heading1">
    <w:name w:val="heading 1"/>
    <w:basedOn w:val="Normal"/>
    <w:next w:val="Normal"/>
    <w:link w:val="Heading1Char"/>
    <w:uiPriority w:val="4"/>
    <w:qFormat/>
    <w:rsid w:val="00107B42"/>
    <w:pPr>
      <w:keepNext/>
      <w:keepLines/>
      <w:pBdr>
        <w:bottom w:val="single" w:sz="2" w:space="1" w:color="auto"/>
      </w:pBdr>
      <w:jc w:val="left"/>
      <w:outlineLvl w:val="0"/>
    </w:pPr>
    <w:rPr>
      <w:rFonts w:eastAsia="MS Gothic"/>
      <w:b/>
      <w:bCs/>
    </w:rPr>
  </w:style>
  <w:style w:type="paragraph" w:styleId="Heading2">
    <w:name w:val="heading 2"/>
    <w:basedOn w:val="Normal"/>
    <w:next w:val="Normal"/>
    <w:link w:val="Heading2Char"/>
    <w:uiPriority w:val="4"/>
    <w:rsid w:val="00361A27"/>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rsid w:val="00530A2F"/>
    <w:pPr>
      <w:keepNext/>
      <w:spacing w:before="240" w:after="60" w:line="300" w:lineRule="exact"/>
      <w:jc w:val="left"/>
      <w:outlineLvl w:val="2"/>
    </w:pPr>
    <w:rPr>
      <w:rFonts w:eastAsia="MS Gothic"/>
      <w:b/>
      <w:bCs/>
      <w:color w:val="C4262E"/>
    </w:rPr>
  </w:style>
  <w:style w:type="paragraph" w:styleId="Heading4">
    <w:name w:val="heading 4"/>
    <w:basedOn w:val="Normal"/>
    <w:next w:val="Normal"/>
    <w:link w:val="Heading4Char"/>
    <w:uiPriority w:val="4"/>
    <w:rsid w:val="004C0B0C"/>
    <w:pPr>
      <w:keepNext/>
      <w:keepLines/>
      <w:spacing w:before="200"/>
      <w:jc w:val="left"/>
      <w:outlineLvl w:val="3"/>
    </w:pPr>
    <w:rPr>
      <w:rFonts w:eastAsia="MS Gothic"/>
      <w:b/>
      <w:bCs/>
    </w:rPr>
  </w:style>
  <w:style w:type="paragraph" w:styleId="Heading5">
    <w:name w:val="heading 5"/>
    <w:basedOn w:val="Normal"/>
    <w:next w:val="Normal"/>
    <w:link w:val="Heading5Char"/>
    <w:uiPriority w:val="1"/>
    <w:semiHidden/>
    <w:rsid w:val="00AF47C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302864"/>
    <w:rPr>
      <w:rFonts w:ascii="Arial" w:eastAsia="MS Gothic" w:hAnsi="Arial" w:cs="Times New Roman"/>
      <w:b/>
      <w:bCs/>
      <w:lang w:val="en-GB" w:eastAsia="en-GB"/>
    </w:rPr>
  </w:style>
  <w:style w:type="character" w:customStyle="1" w:styleId="Heading2Char">
    <w:name w:val="Heading 2 Char"/>
    <w:link w:val="Heading2"/>
    <w:uiPriority w:val="4"/>
    <w:rsid w:val="00302864"/>
    <w:rPr>
      <w:rFonts w:ascii="Arial" w:eastAsia="MS Gothic" w:hAnsi="Arial"/>
      <w:b/>
      <w:bCs/>
      <w:sz w:val="34"/>
      <w:szCs w:val="34"/>
      <w:lang w:val="en-GB" w:eastAsia="en-GB"/>
    </w:rPr>
  </w:style>
  <w:style w:type="character" w:customStyle="1" w:styleId="Heading3Char">
    <w:name w:val="Heading 3 Char"/>
    <w:link w:val="Heading3"/>
    <w:uiPriority w:val="4"/>
    <w:rsid w:val="00302864"/>
    <w:rPr>
      <w:rFonts w:ascii="Arial" w:eastAsia="MS Gothic" w:hAnsi="Arial"/>
      <w:b/>
      <w:bCs/>
      <w:color w:val="C4262E"/>
      <w:sz w:val="22"/>
      <w:szCs w:val="22"/>
      <w:lang w:val="en-GB" w:eastAsia="en-GB"/>
    </w:rPr>
  </w:style>
  <w:style w:type="character" w:customStyle="1" w:styleId="Heading4Char">
    <w:name w:val="Heading 4 Char"/>
    <w:link w:val="Heading4"/>
    <w:uiPriority w:val="4"/>
    <w:rsid w:val="00302864"/>
    <w:rPr>
      <w:rFonts w:ascii="Arial" w:eastAsia="MS Gothic" w:hAnsi="Arial" w:cs="Times New Roman"/>
      <w:b/>
      <w:bCs/>
      <w:lang w:val="en-GB" w:eastAsia="en-GB"/>
    </w:rPr>
  </w:style>
  <w:style w:type="character" w:styleId="Hyperlink">
    <w:name w:val="Hyperlink"/>
    <w:uiPriority w:val="9"/>
    <w:rsid w:val="00E4443B"/>
    <w:rPr>
      <w:rFonts w:ascii="Arial" w:hAnsi="Arial"/>
      <w:color w:val="0000FF"/>
      <w:u w:val="single"/>
    </w:rPr>
  </w:style>
  <w:style w:type="paragraph" w:styleId="FootnoteText">
    <w:name w:val="footnote text"/>
    <w:basedOn w:val="Normal"/>
    <w:semiHidden/>
    <w:rsid w:val="00876368"/>
    <w:pPr>
      <w:jc w:val="left"/>
    </w:pPr>
    <w:rPr>
      <w:i/>
      <w:iCs/>
      <w:color w:val="425767"/>
      <w:sz w:val="16"/>
      <w:szCs w:val="16"/>
      <w:lang w:eastAsia="fr-FR"/>
    </w:rPr>
  </w:style>
  <w:style w:type="character" w:styleId="FootnoteReference">
    <w:name w:val="footnote reference"/>
    <w:semiHidden/>
    <w:rsid w:val="00A6720D"/>
    <w:rPr>
      <w:rFonts w:ascii="Arial" w:hAnsi="Arial"/>
      <w:b w:val="0"/>
      <w:bCs w:val="0"/>
      <w:i w:val="0"/>
      <w:iCs w:val="0"/>
      <w:vertAlign w:val="superscript"/>
      <w:lang w:val="en-GB"/>
    </w:rPr>
  </w:style>
  <w:style w:type="paragraph" w:customStyle="1" w:styleId="addressaddressee">
    <w:name w:val="address addressee"/>
    <w:basedOn w:val="addressee"/>
    <w:uiPriority w:val="6"/>
    <w:rsid w:val="004C0B0C"/>
    <w:rPr>
      <w:sz w:val="14"/>
      <w:szCs w:val="14"/>
    </w:rPr>
  </w:style>
  <w:style w:type="paragraph" w:customStyle="1" w:styleId="addressee">
    <w:name w:val="addressee"/>
    <w:basedOn w:val="Normal"/>
    <w:uiPriority w:val="6"/>
    <w:rsid w:val="004C0B0C"/>
    <w:pPr>
      <w:jc w:val="right"/>
    </w:pPr>
  </w:style>
  <w:style w:type="paragraph" w:customStyle="1" w:styleId="legendlgende">
    <w:name w:val="legend/légende"/>
    <w:basedOn w:val="FootnoteText"/>
    <w:uiPriority w:val="5"/>
    <w:rsid w:val="00530A2F"/>
    <w:rPr>
      <w:color w:val="C4262E"/>
    </w:rPr>
  </w:style>
  <w:style w:type="paragraph" w:customStyle="1" w:styleId="introductionchapo">
    <w:name w:val="introduction/chapo"/>
    <w:basedOn w:val="Normal"/>
    <w:uiPriority w:val="5"/>
    <w:rsid w:val="004C0B0C"/>
    <w:pPr>
      <w:spacing w:line="360" w:lineRule="exact"/>
      <w:jc w:val="left"/>
    </w:pPr>
    <w:rPr>
      <w:i/>
      <w:iCs/>
      <w:color w:val="00141E"/>
      <w:sz w:val="26"/>
      <w:szCs w:val="26"/>
    </w:rPr>
  </w:style>
  <w:style w:type="table" w:customStyle="1" w:styleId="tabletableaucadre">
    <w:name w:val="table/tableau cadre"/>
    <w:basedOn w:val="TableNormal"/>
    <w:rsid w:val="00D9750D"/>
    <w:pPr>
      <w:spacing w:before="60" w:after="60"/>
    </w:pPr>
    <w:rPr>
      <w:sz w:val="18"/>
      <w:szCs w:val="18"/>
    </w:rPr>
    <w:tblPr>
      <w:tblInd w:w="0" w:type="dxa"/>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CellMar>
        <w:top w:w="0" w:type="dxa"/>
        <w:left w:w="108" w:type="dxa"/>
        <w:bottom w:w="0" w:type="dxa"/>
        <w:right w:w="108" w:type="dxa"/>
      </w:tblCellMar>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5"/>
    <w:rsid w:val="00530A2F"/>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4"/>
      <w:szCs w:val="14"/>
    </w:rPr>
  </w:style>
  <w:style w:type="paragraph" w:customStyle="1" w:styleId="Paragraphestandard">
    <w:name w:val="[Paragraphe standard]"/>
    <w:basedOn w:val="Normal"/>
    <w:uiPriority w:val="99"/>
    <w:rsid w:val="004C0B0C"/>
    <w:pPr>
      <w:autoSpaceDE w:val="0"/>
      <w:autoSpaceDN w:val="0"/>
      <w:adjustRightInd w:val="0"/>
      <w:jc w:val="left"/>
      <w:textAlignment w:val="center"/>
    </w:pPr>
    <w:rPr>
      <w:rFonts w:cs="Times-Roman"/>
      <w:color w:val="000000"/>
      <w:lang w:eastAsia="fr-FR"/>
    </w:rPr>
  </w:style>
  <w:style w:type="table" w:styleId="TableGrid">
    <w:name w:val="Table Grid"/>
    <w:basedOn w:val="TableNormal"/>
    <w:rsid w:val="00D97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5"/>
    <w:unhideWhenUsed/>
    <w:qFormat/>
    <w:rsid w:val="00530A2F"/>
    <w:pPr>
      <w:numPr>
        <w:numId w:val="9"/>
      </w:numPr>
      <w:contextualSpacing/>
    </w:pPr>
  </w:style>
  <w:style w:type="paragraph" w:styleId="ListBullet2">
    <w:name w:val="List Bullet 2"/>
    <w:basedOn w:val="Normal"/>
    <w:uiPriority w:val="5"/>
    <w:unhideWhenUsed/>
    <w:rsid w:val="004C0B0C"/>
    <w:pPr>
      <w:numPr>
        <w:numId w:val="18"/>
      </w:numPr>
      <w:contextualSpacing/>
    </w:pPr>
  </w:style>
  <w:style w:type="paragraph" w:styleId="ListBullet3">
    <w:name w:val="List Bullet 3"/>
    <w:basedOn w:val="Normal"/>
    <w:uiPriority w:val="5"/>
    <w:unhideWhenUsed/>
    <w:rsid w:val="00ED60C2"/>
    <w:pPr>
      <w:numPr>
        <w:numId w:val="11"/>
      </w:numPr>
      <w:contextualSpacing/>
    </w:pPr>
  </w:style>
  <w:style w:type="paragraph" w:styleId="Footer">
    <w:name w:val="footer"/>
    <w:basedOn w:val="Normal"/>
    <w:link w:val="FooterChar"/>
    <w:uiPriority w:val="99"/>
    <w:rsid w:val="00530A2F"/>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9"/>
    <w:rsid w:val="00530A2F"/>
    <w:rPr>
      <w:rFonts w:ascii="Arial" w:hAnsi="Arial"/>
      <w:color w:val="C4262E"/>
      <w:w w:val="99"/>
      <w:sz w:val="12"/>
      <w:szCs w:val="12"/>
      <w:lang w:val="en-GB" w:eastAsia="en-GB"/>
    </w:rPr>
  </w:style>
  <w:style w:type="paragraph" w:styleId="Header">
    <w:name w:val="header"/>
    <w:basedOn w:val="Normal"/>
    <w:link w:val="HeaderChar"/>
    <w:uiPriority w:val="9"/>
    <w:rsid w:val="004C0B0C"/>
    <w:pPr>
      <w:tabs>
        <w:tab w:val="center" w:pos="4536"/>
        <w:tab w:val="right" w:pos="9072"/>
      </w:tabs>
      <w:spacing w:line="240" w:lineRule="auto"/>
    </w:pPr>
  </w:style>
  <w:style w:type="character" w:customStyle="1" w:styleId="HeaderChar">
    <w:name w:val="Header Char"/>
    <w:link w:val="Header"/>
    <w:uiPriority w:val="9"/>
    <w:rsid w:val="00711308"/>
    <w:rPr>
      <w:rFonts w:ascii="Arial" w:hAnsi="Arial"/>
      <w:lang w:val="fr-BE" w:eastAsia="en-GB"/>
    </w:rPr>
  </w:style>
  <w:style w:type="paragraph" w:customStyle="1" w:styleId="tabletableautexte">
    <w:name w:val="table/tableau texte"/>
    <w:basedOn w:val="Normal"/>
    <w:uiPriority w:val="9"/>
    <w:rsid w:val="004C0B0C"/>
    <w:pPr>
      <w:spacing w:before="60" w:after="60"/>
      <w:jc w:val="left"/>
    </w:pPr>
    <w:rPr>
      <w:sz w:val="18"/>
      <w:szCs w:val="18"/>
    </w:rPr>
  </w:style>
  <w:style w:type="paragraph" w:customStyle="1" w:styleId="committee">
    <w:name w:val="committee"/>
    <w:basedOn w:val="addressee"/>
    <w:uiPriority w:val="6"/>
    <w:rsid w:val="00AF47C2"/>
    <w:rPr>
      <w:rFonts w:ascii="Arial Black" w:hAnsi="Arial Black"/>
      <w:caps/>
    </w:rPr>
  </w:style>
  <w:style w:type="character" w:customStyle="1" w:styleId="Heading5Char">
    <w:name w:val="Heading 5 Char"/>
    <w:link w:val="Heading5"/>
    <w:uiPriority w:val="1"/>
    <w:semiHidden/>
    <w:rsid w:val="00824265"/>
    <w:rPr>
      <w:rFonts w:ascii="Calibri" w:eastAsia="MS Gothic" w:hAnsi="Calibri" w:cs="Times New Roman"/>
      <w:color w:val="243F60"/>
      <w:lang w:val="fr-BE" w:eastAsia="en-GB"/>
    </w:rPr>
  </w:style>
  <w:style w:type="character" w:styleId="PageNumber">
    <w:name w:val="page number"/>
    <w:basedOn w:val="DefaultParagraphFont"/>
    <w:uiPriority w:val="9"/>
    <w:rsid w:val="00BD30B2"/>
  </w:style>
  <w:style w:type="character" w:customStyle="1" w:styleId="Italic">
    <w:name w:val="Italic"/>
    <w:uiPriority w:val="1"/>
    <w:qFormat/>
    <w:rsid w:val="00D357B6"/>
    <w:rPr>
      <w:i/>
    </w:rPr>
  </w:style>
  <w:style w:type="paragraph" w:customStyle="1" w:styleId="centered">
    <w:name w:val="centered"/>
    <w:basedOn w:val="Normal"/>
    <w:uiPriority w:val="2"/>
    <w:qFormat/>
    <w:rsid w:val="008C79A7"/>
    <w:pPr>
      <w:spacing w:line="240" w:lineRule="auto"/>
      <w:jc w:val="center"/>
    </w:pPr>
  </w:style>
  <w:style w:type="character" w:customStyle="1" w:styleId="BOLD">
    <w:name w:val="BOLD"/>
    <w:uiPriority w:val="2"/>
    <w:qFormat/>
    <w:rsid w:val="00343279"/>
    <w:rPr>
      <w:b/>
      <w:lang w:val="en-GB"/>
    </w:rPr>
  </w:style>
  <w:style w:type="paragraph" w:styleId="BalloonText">
    <w:name w:val="Balloon Text"/>
    <w:basedOn w:val="Normal"/>
    <w:link w:val="BalloonTextChar"/>
    <w:uiPriority w:val="9"/>
    <w:rsid w:val="00C760A3"/>
    <w:pPr>
      <w:spacing w:line="240" w:lineRule="auto"/>
    </w:pPr>
    <w:rPr>
      <w:rFonts w:cs="Tahoma"/>
      <w:sz w:val="16"/>
      <w:szCs w:val="16"/>
    </w:rPr>
  </w:style>
  <w:style w:type="character" w:customStyle="1" w:styleId="BalloonTextChar">
    <w:name w:val="Balloon Text Char"/>
    <w:link w:val="BalloonText"/>
    <w:uiPriority w:val="9"/>
    <w:rsid w:val="00C760A3"/>
    <w:rPr>
      <w:rFonts w:ascii="Arial" w:hAnsi="Arial" w:cs="Tahoma"/>
      <w:sz w:val="16"/>
      <w:szCs w:val="16"/>
    </w:rPr>
  </w:style>
  <w:style w:type="character" w:customStyle="1" w:styleId="CleanChar">
    <w:name w:val="Clean Char"/>
    <w:uiPriority w:val="1"/>
    <w:qFormat/>
    <w:rsid w:val="008C79A7"/>
    <w:rPr>
      <w:b w:val="0"/>
      <w:i w:val="0"/>
      <w:u w:val="none"/>
    </w:rPr>
  </w:style>
  <w:style w:type="character" w:customStyle="1" w:styleId="BoldItalic">
    <w:name w:val="Bold Italic"/>
    <w:basedOn w:val="Italic"/>
    <w:uiPriority w:val="2"/>
    <w:qFormat/>
    <w:rsid w:val="00D357B6"/>
    <w:rPr>
      <w:b/>
      <w:i/>
    </w:rPr>
  </w:style>
  <w:style w:type="character" w:customStyle="1" w:styleId="BoldUnderline">
    <w:name w:val="Bold Underline"/>
    <w:uiPriority w:val="2"/>
    <w:qFormat/>
    <w:rsid w:val="00D357B6"/>
    <w:rPr>
      <w:b/>
      <w:u w:val="single"/>
    </w:rPr>
  </w:style>
  <w:style w:type="paragraph" w:styleId="ListNumber">
    <w:name w:val="List Number"/>
    <w:basedOn w:val="Normal"/>
    <w:uiPriority w:val="5"/>
    <w:qFormat/>
    <w:rsid w:val="00C22735"/>
    <w:pPr>
      <w:numPr>
        <w:numId w:val="26"/>
      </w:numPr>
      <w:contextualSpacing/>
    </w:pPr>
    <w:rPr>
      <w:lang w:val="fr-BE" w:eastAsia="fr-FR"/>
    </w:rPr>
  </w:style>
  <w:style w:type="character" w:customStyle="1" w:styleId="BoldUnderlineItalic">
    <w:name w:val="Bold Underline Italic"/>
    <w:basedOn w:val="BoldItalic"/>
    <w:uiPriority w:val="2"/>
    <w:qFormat/>
    <w:rsid w:val="00D357B6"/>
    <w:rPr>
      <w:b/>
      <w:i/>
      <w:u w:val="single"/>
    </w:rPr>
  </w:style>
  <w:style w:type="paragraph" w:customStyle="1" w:styleId="Listletter">
    <w:name w:val="List letter"/>
    <w:basedOn w:val="ListNumber"/>
    <w:uiPriority w:val="5"/>
    <w:qFormat/>
    <w:rsid w:val="00ED60C2"/>
    <w:pPr>
      <w:numPr>
        <w:numId w:val="20"/>
      </w:numPr>
    </w:pPr>
  </w:style>
  <w:style w:type="paragraph" w:customStyle="1" w:styleId="Footnote">
    <w:name w:val="Footnote"/>
    <w:basedOn w:val="FootnoteText"/>
    <w:uiPriority w:val="9"/>
    <w:qFormat/>
    <w:rsid w:val="00343279"/>
  </w:style>
  <w:style w:type="paragraph" w:customStyle="1" w:styleId="RedLigne">
    <w:name w:val="Red Ligne"/>
    <w:basedOn w:val="Heading1"/>
    <w:rsid w:val="00DD2A84"/>
    <w:pPr>
      <w:pBdr>
        <w:bottom w:val="single" w:sz="2" w:space="1" w:color="C4262E"/>
      </w:pBdr>
    </w:pPr>
    <w:rPr>
      <w:rFonts w:eastAsia="Times New Roman"/>
      <w:b w:val="0"/>
      <w:bCs w:val="0"/>
      <w:color w:val="FF0000"/>
    </w:rPr>
  </w:style>
  <w:style w:type="paragraph" w:customStyle="1" w:styleId="Title1">
    <w:name w:val="Title1"/>
    <w:basedOn w:val="centered"/>
    <w:qFormat/>
    <w:rsid w:val="007E61EF"/>
    <w:rPr>
      <w:b/>
      <w:sz w:val="26"/>
      <w:szCs w:val="26"/>
    </w:rPr>
  </w:style>
  <w:style w:type="paragraph" w:customStyle="1" w:styleId="Agendaitem">
    <w:name w:val="Agenda item"/>
    <w:basedOn w:val="Heading4"/>
    <w:uiPriority w:val="2"/>
    <w:semiHidden/>
    <w:rsid w:val="00C760A3"/>
    <w:pPr>
      <w:pBdr>
        <w:bottom w:val="single" w:sz="2" w:space="1" w:color="auto"/>
      </w:pBdr>
      <w:spacing w:before="0"/>
    </w:pPr>
    <w:rPr>
      <w:lang w:val="fr-BE"/>
    </w:rPr>
  </w:style>
  <w:style w:type="character" w:customStyle="1" w:styleId="Underline">
    <w:name w:val="Underline"/>
    <w:uiPriority w:val="2"/>
    <w:qFormat/>
    <w:rsid w:val="00D357B6"/>
    <w:rPr>
      <w:u w:val="single"/>
    </w:rPr>
  </w:style>
  <w:style w:type="character" w:customStyle="1" w:styleId="Barr">
    <w:name w:val="Barré"/>
    <w:basedOn w:val="DefaultParagraphFont"/>
    <w:uiPriority w:val="2"/>
    <w:qFormat/>
    <w:rsid w:val="00D357B6"/>
    <w:rPr>
      <w:rFonts w:ascii="Arial" w:hAnsi="Arial"/>
      <w:strike/>
      <w:dstrike w:val="0"/>
      <w:lang w:val="en-GB"/>
    </w:rPr>
  </w:style>
  <w:style w:type="paragraph" w:customStyle="1" w:styleId="ListNum">
    <w:name w:val="List Num"/>
    <w:basedOn w:val="ListParagraph"/>
    <w:uiPriority w:val="7"/>
    <w:qFormat/>
    <w:rsid w:val="00C22735"/>
    <w:pPr>
      <w:numPr>
        <w:numId w:val="24"/>
      </w:numPr>
    </w:pPr>
    <w:rPr>
      <w:rFonts w:eastAsia="Cambria"/>
      <w:lang w:val="fr-FR" w:eastAsia="fr-FR"/>
    </w:rPr>
  </w:style>
  <w:style w:type="paragraph" w:styleId="ListParagraph">
    <w:name w:val="List Paragraph"/>
    <w:basedOn w:val="Normal"/>
    <w:uiPriority w:val="72"/>
    <w:locked/>
    <w:rsid w:val="00EE18F4"/>
    <w:pPr>
      <w:ind w:left="720"/>
      <w:contextualSpacing/>
    </w:pPr>
  </w:style>
  <w:style w:type="paragraph" w:customStyle="1" w:styleId="ListNumber2X">
    <w:name w:val="List Number 2.X"/>
    <w:basedOn w:val="ListNumber"/>
    <w:uiPriority w:val="5"/>
    <w:qFormat/>
    <w:rsid w:val="00C22735"/>
    <w:pPr>
      <w:numPr>
        <w:ilvl w:val="1"/>
      </w:numPr>
      <w:ind w:left="845" w:hanging="488"/>
    </w:pPr>
    <w:rPr>
      <w:szCs w:val="20"/>
      <w:lang w:eastAsia="en-GB"/>
    </w:rPr>
  </w:style>
  <w:style w:type="paragraph" w:customStyle="1" w:styleId="listtiret">
    <w:name w:val="list tiret"/>
    <w:basedOn w:val="ListParagraph"/>
    <w:uiPriority w:val="5"/>
    <w:qFormat/>
    <w:rsid w:val="00FD791E"/>
    <w:pPr>
      <w:numPr>
        <w:numId w:val="23"/>
      </w:numPr>
      <w:ind w:left="850" w:hanging="493"/>
    </w:pPr>
    <w:rPr>
      <w:szCs w:val="20"/>
    </w:rPr>
  </w:style>
  <w:style w:type="table" w:customStyle="1" w:styleId="Tabel">
    <w:name w:val="Tabel"/>
    <w:basedOn w:val="TableGrid1"/>
    <w:uiPriority w:val="99"/>
    <w:rsid w:val="00DA18B7"/>
    <w:pPr>
      <w:spacing w:line="200" w:lineRule="atLeast"/>
      <w:ind w:left="1419" w:hanging="370"/>
      <w:jc w:val="right"/>
    </w:pPr>
    <w:rPr>
      <w:rFonts w:ascii="Whitney Medium" w:eastAsia="Calibri" w:hAnsi="Whitney Medium"/>
      <w:sz w:val="16"/>
      <w:szCs w:val="20"/>
      <w:lang w:val="fr-BE" w:eastAsia="da-DK"/>
    </w:rPr>
    <w:tblPr>
      <w:tblStyleRowBandSize w:val="1"/>
      <w:tblInd w:w="113" w:type="dxa"/>
      <w:tblBorders>
        <w:top w:val="single" w:sz="12" w:space="0" w:color="E7E6E6"/>
        <w:left w:val="single" w:sz="12" w:space="0" w:color="E7E6E6"/>
        <w:bottom w:val="single" w:sz="12" w:space="0" w:color="E7E6E6"/>
        <w:right w:val="single" w:sz="12" w:space="0" w:color="E7E6E6"/>
      </w:tblBorders>
      <w:tblCellMar>
        <w:top w:w="57" w:type="dxa"/>
        <w:left w:w="108" w:type="dxa"/>
        <w:bottom w:w="28" w:type="dxa"/>
        <w:right w:w="108" w:type="dxa"/>
      </w:tblCellMar>
    </w:tblPr>
    <w:tcPr>
      <w:shd w:val="clear" w:color="auto" w:fill="A5A5A5"/>
    </w:tcPr>
    <w:tblStylePr w:type="firstRow">
      <w:pPr>
        <w:wordWrap/>
        <w:spacing w:line="240" w:lineRule="atLeast"/>
        <w:jc w:val="left"/>
      </w:pPr>
      <w:rPr>
        <w:rFonts w:ascii="Whitney Semibold" w:hAnsi="Whitney Semibold"/>
        <w:b w:val="0"/>
        <w:color w:val="FFFFFF"/>
        <w:sz w:val="20"/>
      </w:rPr>
      <w:tblPr/>
      <w:tcPr>
        <w:tcBorders>
          <w:top w:val="single" w:sz="12" w:space="0" w:color="E7E6E6"/>
          <w:left w:val="single" w:sz="12" w:space="0" w:color="E7E6E6"/>
          <w:bottom w:val="nil"/>
          <w:right w:val="single" w:sz="12" w:space="0" w:color="E7E6E6"/>
          <w:insideH w:val="nil"/>
          <w:insideV w:val="nil"/>
        </w:tcBorders>
        <w:shd w:val="clear" w:color="auto" w:fill="E7E6E6"/>
      </w:tcPr>
    </w:tblStylePr>
    <w:tblStylePr w:type="lastRow">
      <w:rPr>
        <w:i/>
        <w:iCs/>
      </w:rPr>
      <w:tblPr/>
      <w:tcPr>
        <w:tcBorders>
          <w:tl2br w:val="none" w:sz="0" w:space="0" w:color="auto"/>
          <w:tr2bl w:val="none" w:sz="0" w:space="0" w:color="auto"/>
        </w:tcBorders>
      </w:tcPr>
    </w:tblStylePr>
    <w:tblStylePr w:type="firstCol">
      <w:pPr>
        <w:jc w:val="left"/>
      </w:pPr>
    </w:tblStylePr>
    <w:tblStylePr w:type="lastCol">
      <w:rPr>
        <w:i/>
        <w:iCs/>
      </w:rPr>
      <w:tblPr/>
      <w:tcPr>
        <w:tcBorders>
          <w:tl2br w:val="none" w:sz="0" w:space="0" w:color="auto"/>
          <w:tr2bl w:val="none" w:sz="0" w:space="0" w:color="auto"/>
        </w:tcBorders>
      </w:tcPr>
    </w:tblStylePr>
    <w:tblStylePr w:type="band1Horz">
      <w:rPr>
        <w:rFonts w:ascii="Whitney Medium" w:hAnsi="Whitney Medium"/>
        <w:color w:val="auto"/>
        <w:sz w:val="16"/>
      </w:rPr>
      <w:tblPr/>
      <w:tcPr>
        <w:shd w:val="clear" w:color="auto" w:fill="FFFFFF"/>
      </w:tcPr>
    </w:tblStylePr>
    <w:tblStylePr w:type="band2Horz">
      <w:rPr>
        <w:rFonts w:ascii="Whitney Medium" w:hAnsi="Whitney Medium"/>
        <w:sz w:val="16"/>
      </w:rPr>
      <w:tblPr/>
      <w:tcPr>
        <w:shd w:val="clear" w:color="auto" w:fill="A5A5A5"/>
      </w:tcPr>
    </w:tblStylePr>
  </w:style>
  <w:style w:type="table" w:customStyle="1" w:styleId="Box">
    <w:name w:val="Box"/>
    <w:basedOn w:val="TableNormal"/>
    <w:uiPriority w:val="99"/>
    <w:qFormat/>
    <w:rsid w:val="00DA18B7"/>
    <w:pPr>
      <w:spacing w:line="200" w:lineRule="atLeast"/>
    </w:pPr>
    <w:rPr>
      <w:rFonts w:ascii="Whitney Book" w:eastAsia="Calibri" w:hAnsi="Whitney Book"/>
      <w:sz w:val="16"/>
      <w:lang w:val="da-DK" w:eastAsia="en-US"/>
    </w:rPr>
    <w:tblPr>
      <w:tblInd w:w="113" w:type="dxa"/>
      <w:tblBorders>
        <w:top w:val="single" w:sz="12" w:space="0" w:color="E7E6E6"/>
        <w:left w:val="single" w:sz="12" w:space="0" w:color="E7E6E6"/>
        <w:bottom w:val="single" w:sz="12" w:space="0" w:color="E7E6E6"/>
        <w:right w:val="single" w:sz="12" w:space="0" w:color="E7E6E6"/>
      </w:tblBorders>
      <w:tblCellMar>
        <w:top w:w="57" w:type="dxa"/>
        <w:left w:w="108" w:type="dxa"/>
        <w:bottom w:w="57" w:type="dxa"/>
        <w:right w:w="108" w:type="dxa"/>
      </w:tblCellMar>
    </w:tblPr>
    <w:tcPr>
      <w:shd w:val="clear" w:color="auto" w:fill="A5A5A5"/>
    </w:tcPr>
    <w:tblStylePr w:type="firstRow">
      <w:rPr>
        <w:rFonts w:ascii="Whitney Semibold" w:hAnsi="Whitney Semibold"/>
        <w:b w:val="0"/>
        <w:color w:val="FFFFFF"/>
        <w:sz w:val="20"/>
      </w:rPr>
      <w:tblPr/>
      <w:tcPr>
        <w:shd w:val="clear" w:color="auto" w:fill="E7E6E6"/>
      </w:tcPr>
    </w:tblStylePr>
  </w:style>
  <w:style w:type="table" w:styleId="TableGrid1">
    <w:name w:val="Table Grid 1"/>
    <w:basedOn w:val="TableNormal"/>
    <w:semiHidden/>
    <w:unhideWhenUsed/>
    <w:locked/>
    <w:rsid w:val="00DA18B7"/>
    <w:pPr>
      <w:spacing w:line="24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1" w:defUIPriority="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lsdException w:name="heading 3" w:locked="0" w:uiPriority="3"/>
    <w:lsdException w:name="heading 4" w:locked="0" w:uiPriority="0"/>
    <w:lsdException w:name="heading 5" w:locked="0" w:uiPriority="0"/>
    <w:lsdException w:name="heading 7" w:uiPriority="0" w:qFormat="1"/>
    <w:lsdException w:name="heading 8" w:uiPriority="0" w:qFormat="1"/>
    <w:lsdException w:name="heading 9" w:uiPriority="0" w:qFormat="1"/>
    <w:lsdException w:name="footnote text" w:locked="0" w:uiPriority="0"/>
    <w:lsdException w:name="header" w:locked="0" w:uiPriority="0"/>
    <w:lsdException w:name="footer" w:locked="0" w:uiPriority="99"/>
    <w:lsdException w:name="caption" w:uiPriority="0" w:qFormat="1"/>
    <w:lsdException w:name="footnote reference" w:locked="0" w:uiPriority="0"/>
    <w:lsdException w:name="page number" w:locked="0" w:uiPriority="0"/>
    <w:lsdException w:name="List Bullet" w:locked="0" w:uiPriority="5" w:qFormat="1"/>
    <w:lsdException w:name="List Number" w:locked="0" w:semiHidden="0" w:uiPriority="5" w:unhideWhenUsed="0" w:qFormat="1"/>
    <w:lsdException w:name="List 4" w:semiHidden="0" w:unhideWhenUsed="0"/>
    <w:lsdException w:name="List 5" w:semiHidden="0" w:unhideWhenUsed="0"/>
    <w:lsdException w:name="List Bullet 2" w:locked="0" w:uiPriority="0"/>
    <w:lsdException w:name="List Bullet 3" w:locked="0" w:uiPriority="0"/>
    <w:lsdException w:name="List Bullet 4" w:uiPriority="5"/>
    <w:lsdException w:name="List Number 2" w:locked="0" w:uiPriority="5"/>
    <w:lsdException w:name="List Number 3" w:locked="0" w:uiPriority="5"/>
    <w:lsdException w:name="List Number 4" w:locked="0" w:uiPriority="5"/>
    <w:lsdException w:name="List Number 5" w:locked="0" w:uiPriority="5"/>
    <w:lsdException w:name="Title" w:semiHidden="0" w:uiPriority="0" w:unhideWhenUsed="0"/>
    <w:lsdException w:name="Default Paragraph Font" w:locked="0" w:uiPriority="0"/>
    <w:lsdException w:name="Subtitle" w:semiHidden="0" w:unhideWhenUsed="0"/>
    <w:lsdException w:name="Salutation" w:semiHidden="0" w:unhideWhenUsed="0"/>
    <w:lsdException w:name="Date" w:locked="0" w:semiHidden="0" w:unhideWhenUsed="0"/>
    <w:lsdException w:name="Body Text First Indent" w:semiHidden="0" w:unhideWhenUsed="0"/>
    <w:lsdException w:name="Hyperlink" w:locked="0" w:uiPriority="0"/>
    <w:lsdException w:name="Strong" w:locked="0" w:uiPriority="22" w:unhideWhenUsed="0" w:qFormat="1"/>
    <w:lsdException w:name="Emphasis" w:semiHidden="0" w:unhideWhenUsed="0"/>
    <w:lsdException w:name="Plain Text" w:uiPriority="99"/>
    <w:lsdException w:name="HTML Top of Form" w:locked="0" w:uiPriority="0"/>
    <w:lsdException w:name="HTML Bottom of Form" w:locked="0" w:uiPriority="0"/>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locked="0" w:semiHidden="0" w:uiPriority="0" w:unhideWhenUsed="0"/>
    <w:lsdException w:name="Table Theme" w:uiPriority="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locked="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
    <w:qFormat/>
    <w:rsid w:val="00EE18F4"/>
    <w:pPr>
      <w:spacing w:line="240" w:lineRule="exact"/>
      <w:jc w:val="both"/>
    </w:pPr>
  </w:style>
  <w:style w:type="paragraph" w:styleId="Heading1">
    <w:name w:val="heading 1"/>
    <w:basedOn w:val="Normal"/>
    <w:next w:val="Normal"/>
    <w:link w:val="Heading1Char"/>
    <w:uiPriority w:val="4"/>
    <w:qFormat/>
    <w:rsid w:val="00107B42"/>
    <w:pPr>
      <w:keepNext/>
      <w:keepLines/>
      <w:pBdr>
        <w:bottom w:val="single" w:sz="2" w:space="1" w:color="auto"/>
      </w:pBdr>
      <w:jc w:val="left"/>
      <w:outlineLvl w:val="0"/>
    </w:pPr>
    <w:rPr>
      <w:rFonts w:eastAsia="MS Gothic"/>
      <w:b/>
      <w:bCs/>
    </w:rPr>
  </w:style>
  <w:style w:type="paragraph" w:styleId="Heading2">
    <w:name w:val="heading 2"/>
    <w:basedOn w:val="Normal"/>
    <w:next w:val="Normal"/>
    <w:link w:val="Heading2Char"/>
    <w:uiPriority w:val="4"/>
    <w:rsid w:val="00361A27"/>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rsid w:val="00530A2F"/>
    <w:pPr>
      <w:keepNext/>
      <w:spacing w:before="240" w:after="60" w:line="300" w:lineRule="exact"/>
      <w:jc w:val="left"/>
      <w:outlineLvl w:val="2"/>
    </w:pPr>
    <w:rPr>
      <w:rFonts w:eastAsia="MS Gothic"/>
      <w:b/>
      <w:bCs/>
      <w:color w:val="C4262E"/>
    </w:rPr>
  </w:style>
  <w:style w:type="paragraph" w:styleId="Heading4">
    <w:name w:val="heading 4"/>
    <w:basedOn w:val="Normal"/>
    <w:next w:val="Normal"/>
    <w:link w:val="Heading4Char"/>
    <w:uiPriority w:val="4"/>
    <w:rsid w:val="004C0B0C"/>
    <w:pPr>
      <w:keepNext/>
      <w:keepLines/>
      <w:spacing w:before="200"/>
      <w:jc w:val="left"/>
      <w:outlineLvl w:val="3"/>
    </w:pPr>
    <w:rPr>
      <w:rFonts w:eastAsia="MS Gothic"/>
      <w:b/>
      <w:bCs/>
    </w:rPr>
  </w:style>
  <w:style w:type="paragraph" w:styleId="Heading5">
    <w:name w:val="heading 5"/>
    <w:basedOn w:val="Normal"/>
    <w:next w:val="Normal"/>
    <w:link w:val="Heading5Char"/>
    <w:uiPriority w:val="1"/>
    <w:semiHidden/>
    <w:rsid w:val="00AF47C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302864"/>
    <w:rPr>
      <w:rFonts w:ascii="Arial" w:eastAsia="MS Gothic" w:hAnsi="Arial" w:cs="Times New Roman"/>
      <w:b/>
      <w:bCs/>
      <w:lang w:val="en-GB" w:eastAsia="en-GB"/>
    </w:rPr>
  </w:style>
  <w:style w:type="character" w:customStyle="1" w:styleId="Heading2Char">
    <w:name w:val="Heading 2 Char"/>
    <w:link w:val="Heading2"/>
    <w:uiPriority w:val="4"/>
    <w:rsid w:val="00302864"/>
    <w:rPr>
      <w:rFonts w:ascii="Arial" w:eastAsia="MS Gothic" w:hAnsi="Arial"/>
      <w:b/>
      <w:bCs/>
      <w:sz w:val="34"/>
      <w:szCs w:val="34"/>
      <w:lang w:val="en-GB" w:eastAsia="en-GB"/>
    </w:rPr>
  </w:style>
  <w:style w:type="character" w:customStyle="1" w:styleId="Heading3Char">
    <w:name w:val="Heading 3 Char"/>
    <w:link w:val="Heading3"/>
    <w:uiPriority w:val="4"/>
    <w:rsid w:val="00302864"/>
    <w:rPr>
      <w:rFonts w:ascii="Arial" w:eastAsia="MS Gothic" w:hAnsi="Arial"/>
      <w:b/>
      <w:bCs/>
      <w:color w:val="C4262E"/>
      <w:sz w:val="22"/>
      <w:szCs w:val="22"/>
      <w:lang w:val="en-GB" w:eastAsia="en-GB"/>
    </w:rPr>
  </w:style>
  <w:style w:type="character" w:customStyle="1" w:styleId="Heading4Char">
    <w:name w:val="Heading 4 Char"/>
    <w:link w:val="Heading4"/>
    <w:uiPriority w:val="4"/>
    <w:rsid w:val="00302864"/>
    <w:rPr>
      <w:rFonts w:ascii="Arial" w:eastAsia="MS Gothic" w:hAnsi="Arial" w:cs="Times New Roman"/>
      <w:b/>
      <w:bCs/>
      <w:lang w:val="en-GB" w:eastAsia="en-GB"/>
    </w:rPr>
  </w:style>
  <w:style w:type="character" w:styleId="Hyperlink">
    <w:name w:val="Hyperlink"/>
    <w:uiPriority w:val="9"/>
    <w:rsid w:val="00E4443B"/>
    <w:rPr>
      <w:rFonts w:ascii="Arial" w:hAnsi="Arial"/>
      <w:color w:val="0000FF"/>
      <w:u w:val="single"/>
    </w:rPr>
  </w:style>
  <w:style w:type="paragraph" w:styleId="FootnoteText">
    <w:name w:val="footnote text"/>
    <w:basedOn w:val="Normal"/>
    <w:semiHidden/>
    <w:rsid w:val="00876368"/>
    <w:pPr>
      <w:jc w:val="left"/>
    </w:pPr>
    <w:rPr>
      <w:i/>
      <w:iCs/>
      <w:color w:val="425767"/>
      <w:sz w:val="16"/>
      <w:szCs w:val="16"/>
      <w:lang w:eastAsia="fr-FR"/>
    </w:rPr>
  </w:style>
  <w:style w:type="character" w:styleId="FootnoteReference">
    <w:name w:val="footnote reference"/>
    <w:semiHidden/>
    <w:rsid w:val="00A6720D"/>
    <w:rPr>
      <w:rFonts w:ascii="Arial" w:hAnsi="Arial"/>
      <w:b w:val="0"/>
      <w:bCs w:val="0"/>
      <w:i w:val="0"/>
      <w:iCs w:val="0"/>
      <w:vertAlign w:val="superscript"/>
      <w:lang w:val="en-GB"/>
    </w:rPr>
  </w:style>
  <w:style w:type="paragraph" w:customStyle="1" w:styleId="addressaddressee">
    <w:name w:val="address addressee"/>
    <w:basedOn w:val="addressee"/>
    <w:uiPriority w:val="6"/>
    <w:rsid w:val="004C0B0C"/>
    <w:rPr>
      <w:sz w:val="14"/>
      <w:szCs w:val="14"/>
    </w:rPr>
  </w:style>
  <w:style w:type="paragraph" w:customStyle="1" w:styleId="addressee">
    <w:name w:val="addressee"/>
    <w:basedOn w:val="Normal"/>
    <w:uiPriority w:val="6"/>
    <w:rsid w:val="004C0B0C"/>
    <w:pPr>
      <w:jc w:val="right"/>
    </w:pPr>
  </w:style>
  <w:style w:type="paragraph" w:customStyle="1" w:styleId="legendlgende">
    <w:name w:val="legend/légende"/>
    <w:basedOn w:val="FootnoteText"/>
    <w:uiPriority w:val="5"/>
    <w:rsid w:val="00530A2F"/>
    <w:rPr>
      <w:color w:val="C4262E"/>
    </w:rPr>
  </w:style>
  <w:style w:type="paragraph" w:customStyle="1" w:styleId="introductionchapo">
    <w:name w:val="introduction/chapo"/>
    <w:basedOn w:val="Normal"/>
    <w:uiPriority w:val="5"/>
    <w:rsid w:val="004C0B0C"/>
    <w:pPr>
      <w:spacing w:line="360" w:lineRule="exact"/>
      <w:jc w:val="left"/>
    </w:pPr>
    <w:rPr>
      <w:i/>
      <w:iCs/>
      <w:color w:val="00141E"/>
      <w:sz w:val="26"/>
      <w:szCs w:val="26"/>
    </w:rPr>
  </w:style>
  <w:style w:type="table" w:customStyle="1" w:styleId="tabletableaucadre">
    <w:name w:val="table/tableau cadre"/>
    <w:basedOn w:val="TableNormal"/>
    <w:rsid w:val="00D9750D"/>
    <w:pPr>
      <w:spacing w:before="60" w:after="60"/>
    </w:pPr>
    <w:rPr>
      <w:sz w:val="18"/>
      <w:szCs w:val="18"/>
    </w:rPr>
    <w:tblPr>
      <w:tblInd w:w="0" w:type="dxa"/>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CellMar>
        <w:top w:w="0" w:type="dxa"/>
        <w:left w:w="108" w:type="dxa"/>
        <w:bottom w:w="0" w:type="dxa"/>
        <w:right w:w="108" w:type="dxa"/>
      </w:tblCellMar>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5"/>
    <w:rsid w:val="00530A2F"/>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4"/>
      <w:szCs w:val="14"/>
    </w:rPr>
  </w:style>
  <w:style w:type="paragraph" w:customStyle="1" w:styleId="Paragraphestandard">
    <w:name w:val="[Paragraphe standard]"/>
    <w:basedOn w:val="Normal"/>
    <w:uiPriority w:val="99"/>
    <w:rsid w:val="004C0B0C"/>
    <w:pPr>
      <w:autoSpaceDE w:val="0"/>
      <w:autoSpaceDN w:val="0"/>
      <w:adjustRightInd w:val="0"/>
      <w:jc w:val="left"/>
      <w:textAlignment w:val="center"/>
    </w:pPr>
    <w:rPr>
      <w:rFonts w:cs="Times-Roman"/>
      <w:color w:val="000000"/>
      <w:lang w:eastAsia="fr-FR"/>
    </w:rPr>
  </w:style>
  <w:style w:type="table" w:styleId="TableGrid">
    <w:name w:val="Table Grid"/>
    <w:basedOn w:val="TableNormal"/>
    <w:rsid w:val="00D97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5"/>
    <w:unhideWhenUsed/>
    <w:qFormat/>
    <w:rsid w:val="00530A2F"/>
    <w:pPr>
      <w:numPr>
        <w:numId w:val="9"/>
      </w:numPr>
      <w:contextualSpacing/>
    </w:pPr>
  </w:style>
  <w:style w:type="paragraph" w:styleId="ListBullet2">
    <w:name w:val="List Bullet 2"/>
    <w:basedOn w:val="Normal"/>
    <w:uiPriority w:val="5"/>
    <w:unhideWhenUsed/>
    <w:rsid w:val="004C0B0C"/>
    <w:pPr>
      <w:numPr>
        <w:numId w:val="18"/>
      </w:numPr>
      <w:contextualSpacing/>
    </w:pPr>
  </w:style>
  <w:style w:type="paragraph" w:styleId="ListBullet3">
    <w:name w:val="List Bullet 3"/>
    <w:basedOn w:val="Normal"/>
    <w:uiPriority w:val="5"/>
    <w:unhideWhenUsed/>
    <w:rsid w:val="00ED60C2"/>
    <w:pPr>
      <w:numPr>
        <w:numId w:val="11"/>
      </w:numPr>
      <w:contextualSpacing/>
    </w:pPr>
  </w:style>
  <w:style w:type="paragraph" w:styleId="Footer">
    <w:name w:val="footer"/>
    <w:basedOn w:val="Normal"/>
    <w:link w:val="FooterChar"/>
    <w:uiPriority w:val="99"/>
    <w:rsid w:val="00530A2F"/>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9"/>
    <w:rsid w:val="00530A2F"/>
    <w:rPr>
      <w:rFonts w:ascii="Arial" w:hAnsi="Arial"/>
      <w:color w:val="C4262E"/>
      <w:w w:val="99"/>
      <w:sz w:val="12"/>
      <w:szCs w:val="12"/>
      <w:lang w:val="en-GB" w:eastAsia="en-GB"/>
    </w:rPr>
  </w:style>
  <w:style w:type="paragraph" w:styleId="Header">
    <w:name w:val="header"/>
    <w:basedOn w:val="Normal"/>
    <w:link w:val="HeaderChar"/>
    <w:uiPriority w:val="9"/>
    <w:rsid w:val="004C0B0C"/>
    <w:pPr>
      <w:tabs>
        <w:tab w:val="center" w:pos="4536"/>
        <w:tab w:val="right" w:pos="9072"/>
      </w:tabs>
      <w:spacing w:line="240" w:lineRule="auto"/>
    </w:pPr>
  </w:style>
  <w:style w:type="character" w:customStyle="1" w:styleId="HeaderChar">
    <w:name w:val="Header Char"/>
    <w:link w:val="Header"/>
    <w:uiPriority w:val="9"/>
    <w:rsid w:val="00711308"/>
    <w:rPr>
      <w:rFonts w:ascii="Arial" w:hAnsi="Arial"/>
      <w:lang w:val="fr-BE" w:eastAsia="en-GB"/>
    </w:rPr>
  </w:style>
  <w:style w:type="paragraph" w:customStyle="1" w:styleId="tabletableautexte">
    <w:name w:val="table/tableau texte"/>
    <w:basedOn w:val="Normal"/>
    <w:uiPriority w:val="9"/>
    <w:rsid w:val="004C0B0C"/>
    <w:pPr>
      <w:spacing w:before="60" w:after="60"/>
      <w:jc w:val="left"/>
    </w:pPr>
    <w:rPr>
      <w:sz w:val="18"/>
      <w:szCs w:val="18"/>
    </w:rPr>
  </w:style>
  <w:style w:type="paragraph" w:customStyle="1" w:styleId="committee">
    <w:name w:val="committee"/>
    <w:basedOn w:val="addressee"/>
    <w:uiPriority w:val="6"/>
    <w:rsid w:val="00AF47C2"/>
    <w:rPr>
      <w:rFonts w:ascii="Arial Black" w:hAnsi="Arial Black"/>
      <w:caps/>
    </w:rPr>
  </w:style>
  <w:style w:type="character" w:customStyle="1" w:styleId="Heading5Char">
    <w:name w:val="Heading 5 Char"/>
    <w:link w:val="Heading5"/>
    <w:uiPriority w:val="1"/>
    <w:semiHidden/>
    <w:rsid w:val="00824265"/>
    <w:rPr>
      <w:rFonts w:ascii="Calibri" w:eastAsia="MS Gothic" w:hAnsi="Calibri" w:cs="Times New Roman"/>
      <w:color w:val="243F60"/>
      <w:lang w:val="fr-BE" w:eastAsia="en-GB"/>
    </w:rPr>
  </w:style>
  <w:style w:type="character" w:styleId="PageNumber">
    <w:name w:val="page number"/>
    <w:basedOn w:val="DefaultParagraphFont"/>
    <w:uiPriority w:val="9"/>
    <w:rsid w:val="00BD30B2"/>
  </w:style>
  <w:style w:type="character" w:customStyle="1" w:styleId="Italic">
    <w:name w:val="Italic"/>
    <w:uiPriority w:val="1"/>
    <w:qFormat/>
    <w:rsid w:val="00D357B6"/>
    <w:rPr>
      <w:i/>
    </w:rPr>
  </w:style>
  <w:style w:type="paragraph" w:customStyle="1" w:styleId="centered">
    <w:name w:val="centered"/>
    <w:basedOn w:val="Normal"/>
    <w:uiPriority w:val="2"/>
    <w:qFormat/>
    <w:rsid w:val="008C79A7"/>
    <w:pPr>
      <w:spacing w:line="240" w:lineRule="auto"/>
      <w:jc w:val="center"/>
    </w:pPr>
  </w:style>
  <w:style w:type="character" w:customStyle="1" w:styleId="BOLD">
    <w:name w:val="BOLD"/>
    <w:uiPriority w:val="2"/>
    <w:qFormat/>
    <w:rsid w:val="00343279"/>
    <w:rPr>
      <w:b/>
      <w:lang w:val="en-GB"/>
    </w:rPr>
  </w:style>
  <w:style w:type="paragraph" w:styleId="BalloonText">
    <w:name w:val="Balloon Text"/>
    <w:basedOn w:val="Normal"/>
    <w:link w:val="BalloonTextChar"/>
    <w:uiPriority w:val="9"/>
    <w:rsid w:val="00C760A3"/>
    <w:pPr>
      <w:spacing w:line="240" w:lineRule="auto"/>
    </w:pPr>
    <w:rPr>
      <w:rFonts w:cs="Tahoma"/>
      <w:sz w:val="16"/>
      <w:szCs w:val="16"/>
    </w:rPr>
  </w:style>
  <w:style w:type="character" w:customStyle="1" w:styleId="BalloonTextChar">
    <w:name w:val="Balloon Text Char"/>
    <w:link w:val="BalloonText"/>
    <w:uiPriority w:val="9"/>
    <w:rsid w:val="00C760A3"/>
    <w:rPr>
      <w:rFonts w:ascii="Arial" w:hAnsi="Arial" w:cs="Tahoma"/>
      <w:sz w:val="16"/>
      <w:szCs w:val="16"/>
    </w:rPr>
  </w:style>
  <w:style w:type="character" w:customStyle="1" w:styleId="CleanChar">
    <w:name w:val="Clean Char"/>
    <w:uiPriority w:val="1"/>
    <w:qFormat/>
    <w:rsid w:val="008C79A7"/>
    <w:rPr>
      <w:b w:val="0"/>
      <w:i w:val="0"/>
      <w:u w:val="none"/>
    </w:rPr>
  </w:style>
  <w:style w:type="character" w:customStyle="1" w:styleId="BoldItalic">
    <w:name w:val="Bold Italic"/>
    <w:basedOn w:val="Italic"/>
    <w:uiPriority w:val="2"/>
    <w:qFormat/>
    <w:rsid w:val="00D357B6"/>
    <w:rPr>
      <w:b/>
      <w:i/>
    </w:rPr>
  </w:style>
  <w:style w:type="character" w:customStyle="1" w:styleId="BoldUnderline">
    <w:name w:val="Bold Underline"/>
    <w:uiPriority w:val="2"/>
    <w:qFormat/>
    <w:rsid w:val="00D357B6"/>
    <w:rPr>
      <w:b/>
      <w:u w:val="single"/>
    </w:rPr>
  </w:style>
  <w:style w:type="paragraph" w:styleId="ListNumber">
    <w:name w:val="List Number"/>
    <w:basedOn w:val="Normal"/>
    <w:uiPriority w:val="5"/>
    <w:qFormat/>
    <w:rsid w:val="00C22735"/>
    <w:pPr>
      <w:numPr>
        <w:numId w:val="26"/>
      </w:numPr>
      <w:contextualSpacing/>
    </w:pPr>
    <w:rPr>
      <w:lang w:val="fr-BE" w:eastAsia="fr-FR"/>
    </w:rPr>
  </w:style>
  <w:style w:type="character" w:customStyle="1" w:styleId="BoldUnderlineItalic">
    <w:name w:val="Bold Underline Italic"/>
    <w:basedOn w:val="BoldItalic"/>
    <w:uiPriority w:val="2"/>
    <w:qFormat/>
    <w:rsid w:val="00D357B6"/>
    <w:rPr>
      <w:b/>
      <w:i/>
      <w:u w:val="single"/>
    </w:rPr>
  </w:style>
  <w:style w:type="paragraph" w:customStyle="1" w:styleId="Listletter">
    <w:name w:val="List letter"/>
    <w:basedOn w:val="ListNumber"/>
    <w:uiPriority w:val="5"/>
    <w:qFormat/>
    <w:rsid w:val="00ED60C2"/>
    <w:pPr>
      <w:numPr>
        <w:numId w:val="20"/>
      </w:numPr>
    </w:pPr>
  </w:style>
  <w:style w:type="paragraph" w:customStyle="1" w:styleId="Footnote">
    <w:name w:val="Footnote"/>
    <w:basedOn w:val="FootnoteText"/>
    <w:uiPriority w:val="9"/>
    <w:qFormat/>
    <w:rsid w:val="00343279"/>
  </w:style>
  <w:style w:type="paragraph" w:customStyle="1" w:styleId="RedLigne">
    <w:name w:val="Red Ligne"/>
    <w:basedOn w:val="Heading1"/>
    <w:rsid w:val="00DD2A84"/>
    <w:pPr>
      <w:pBdr>
        <w:bottom w:val="single" w:sz="2" w:space="1" w:color="C4262E"/>
      </w:pBdr>
    </w:pPr>
    <w:rPr>
      <w:rFonts w:eastAsia="Times New Roman"/>
      <w:b w:val="0"/>
      <w:bCs w:val="0"/>
      <w:color w:val="FF0000"/>
    </w:rPr>
  </w:style>
  <w:style w:type="paragraph" w:customStyle="1" w:styleId="Title1">
    <w:name w:val="Title1"/>
    <w:basedOn w:val="centered"/>
    <w:qFormat/>
    <w:rsid w:val="007E61EF"/>
    <w:rPr>
      <w:b/>
      <w:sz w:val="26"/>
      <w:szCs w:val="26"/>
    </w:rPr>
  </w:style>
  <w:style w:type="paragraph" w:customStyle="1" w:styleId="Agendaitem">
    <w:name w:val="Agenda item"/>
    <w:basedOn w:val="Heading4"/>
    <w:uiPriority w:val="2"/>
    <w:semiHidden/>
    <w:rsid w:val="00C760A3"/>
    <w:pPr>
      <w:pBdr>
        <w:bottom w:val="single" w:sz="2" w:space="1" w:color="auto"/>
      </w:pBdr>
      <w:spacing w:before="0"/>
    </w:pPr>
    <w:rPr>
      <w:lang w:val="fr-BE"/>
    </w:rPr>
  </w:style>
  <w:style w:type="character" w:customStyle="1" w:styleId="Underline">
    <w:name w:val="Underline"/>
    <w:uiPriority w:val="2"/>
    <w:qFormat/>
    <w:rsid w:val="00D357B6"/>
    <w:rPr>
      <w:u w:val="single"/>
    </w:rPr>
  </w:style>
  <w:style w:type="character" w:customStyle="1" w:styleId="Barr">
    <w:name w:val="Barré"/>
    <w:basedOn w:val="DefaultParagraphFont"/>
    <w:uiPriority w:val="2"/>
    <w:qFormat/>
    <w:rsid w:val="00D357B6"/>
    <w:rPr>
      <w:rFonts w:ascii="Arial" w:hAnsi="Arial"/>
      <w:strike/>
      <w:dstrike w:val="0"/>
      <w:lang w:val="en-GB"/>
    </w:rPr>
  </w:style>
  <w:style w:type="paragraph" w:customStyle="1" w:styleId="ListNum">
    <w:name w:val="List Num"/>
    <w:basedOn w:val="ListParagraph"/>
    <w:uiPriority w:val="7"/>
    <w:qFormat/>
    <w:rsid w:val="00C22735"/>
    <w:pPr>
      <w:numPr>
        <w:numId w:val="24"/>
      </w:numPr>
    </w:pPr>
    <w:rPr>
      <w:rFonts w:eastAsia="Cambria"/>
      <w:lang w:val="fr-FR" w:eastAsia="fr-FR"/>
    </w:rPr>
  </w:style>
  <w:style w:type="paragraph" w:styleId="ListParagraph">
    <w:name w:val="List Paragraph"/>
    <w:basedOn w:val="Normal"/>
    <w:uiPriority w:val="72"/>
    <w:locked/>
    <w:rsid w:val="00EE18F4"/>
    <w:pPr>
      <w:ind w:left="720"/>
      <w:contextualSpacing/>
    </w:pPr>
  </w:style>
  <w:style w:type="paragraph" w:customStyle="1" w:styleId="ListNumber2X">
    <w:name w:val="List Number 2.X"/>
    <w:basedOn w:val="ListNumber"/>
    <w:uiPriority w:val="5"/>
    <w:qFormat/>
    <w:rsid w:val="00C22735"/>
    <w:pPr>
      <w:numPr>
        <w:ilvl w:val="1"/>
      </w:numPr>
      <w:ind w:left="845" w:hanging="488"/>
    </w:pPr>
    <w:rPr>
      <w:szCs w:val="20"/>
      <w:lang w:eastAsia="en-GB"/>
    </w:rPr>
  </w:style>
  <w:style w:type="paragraph" w:customStyle="1" w:styleId="listtiret">
    <w:name w:val="list tiret"/>
    <w:basedOn w:val="ListParagraph"/>
    <w:uiPriority w:val="5"/>
    <w:qFormat/>
    <w:rsid w:val="00FD791E"/>
    <w:pPr>
      <w:numPr>
        <w:numId w:val="23"/>
      </w:numPr>
      <w:ind w:left="850" w:hanging="493"/>
    </w:pPr>
    <w:rPr>
      <w:szCs w:val="20"/>
    </w:rPr>
  </w:style>
  <w:style w:type="table" w:customStyle="1" w:styleId="Tabel">
    <w:name w:val="Tabel"/>
    <w:basedOn w:val="TableGrid1"/>
    <w:uiPriority w:val="99"/>
    <w:rsid w:val="00DA18B7"/>
    <w:pPr>
      <w:spacing w:line="200" w:lineRule="atLeast"/>
      <w:ind w:left="1419" w:hanging="370"/>
      <w:jc w:val="right"/>
    </w:pPr>
    <w:rPr>
      <w:rFonts w:ascii="Whitney Medium" w:eastAsia="Calibri" w:hAnsi="Whitney Medium"/>
      <w:sz w:val="16"/>
      <w:szCs w:val="20"/>
      <w:lang w:val="fr-BE" w:eastAsia="da-DK"/>
    </w:rPr>
    <w:tblPr>
      <w:tblStyleRowBandSize w:val="1"/>
      <w:tblInd w:w="113" w:type="dxa"/>
      <w:tblBorders>
        <w:top w:val="single" w:sz="12" w:space="0" w:color="E7E6E6"/>
        <w:left w:val="single" w:sz="12" w:space="0" w:color="E7E6E6"/>
        <w:bottom w:val="single" w:sz="12" w:space="0" w:color="E7E6E6"/>
        <w:right w:val="single" w:sz="12" w:space="0" w:color="E7E6E6"/>
      </w:tblBorders>
      <w:tblCellMar>
        <w:top w:w="57" w:type="dxa"/>
        <w:left w:w="108" w:type="dxa"/>
        <w:bottom w:w="28" w:type="dxa"/>
        <w:right w:w="108" w:type="dxa"/>
      </w:tblCellMar>
    </w:tblPr>
    <w:tcPr>
      <w:shd w:val="clear" w:color="auto" w:fill="A5A5A5"/>
    </w:tcPr>
    <w:tblStylePr w:type="firstRow">
      <w:pPr>
        <w:wordWrap/>
        <w:spacing w:line="240" w:lineRule="atLeast"/>
        <w:jc w:val="left"/>
      </w:pPr>
      <w:rPr>
        <w:rFonts w:ascii="Whitney Semibold" w:hAnsi="Whitney Semibold"/>
        <w:b w:val="0"/>
        <w:color w:val="FFFFFF"/>
        <w:sz w:val="20"/>
      </w:rPr>
      <w:tblPr/>
      <w:tcPr>
        <w:tcBorders>
          <w:top w:val="single" w:sz="12" w:space="0" w:color="E7E6E6"/>
          <w:left w:val="single" w:sz="12" w:space="0" w:color="E7E6E6"/>
          <w:bottom w:val="nil"/>
          <w:right w:val="single" w:sz="12" w:space="0" w:color="E7E6E6"/>
          <w:insideH w:val="nil"/>
          <w:insideV w:val="nil"/>
        </w:tcBorders>
        <w:shd w:val="clear" w:color="auto" w:fill="E7E6E6"/>
      </w:tcPr>
    </w:tblStylePr>
    <w:tblStylePr w:type="lastRow">
      <w:rPr>
        <w:i/>
        <w:iCs/>
      </w:rPr>
      <w:tblPr/>
      <w:tcPr>
        <w:tcBorders>
          <w:tl2br w:val="none" w:sz="0" w:space="0" w:color="auto"/>
          <w:tr2bl w:val="none" w:sz="0" w:space="0" w:color="auto"/>
        </w:tcBorders>
      </w:tcPr>
    </w:tblStylePr>
    <w:tblStylePr w:type="firstCol">
      <w:pPr>
        <w:jc w:val="left"/>
      </w:pPr>
    </w:tblStylePr>
    <w:tblStylePr w:type="lastCol">
      <w:rPr>
        <w:i/>
        <w:iCs/>
      </w:rPr>
      <w:tblPr/>
      <w:tcPr>
        <w:tcBorders>
          <w:tl2br w:val="none" w:sz="0" w:space="0" w:color="auto"/>
          <w:tr2bl w:val="none" w:sz="0" w:space="0" w:color="auto"/>
        </w:tcBorders>
      </w:tcPr>
    </w:tblStylePr>
    <w:tblStylePr w:type="band1Horz">
      <w:rPr>
        <w:rFonts w:ascii="Whitney Medium" w:hAnsi="Whitney Medium"/>
        <w:color w:val="auto"/>
        <w:sz w:val="16"/>
      </w:rPr>
      <w:tblPr/>
      <w:tcPr>
        <w:shd w:val="clear" w:color="auto" w:fill="FFFFFF"/>
      </w:tcPr>
    </w:tblStylePr>
    <w:tblStylePr w:type="band2Horz">
      <w:rPr>
        <w:rFonts w:ascii="Whitney Medium" w:hAnsi="Whitney Medium"/>
        <w:sz w:val="16"/>
      </w:rPr>
      <w:tblPr/>
      <w:tcPr>
        <w:shd w:val="clear" w:color="auto" w:fill="A5A5A5"/>
      </w:tcPr>
    </w:tblStylePr>
  </w:style>
  <w:style w:type="table" w:customStyle="1" w:styleId="Box">
    <w:name w:val="Box"/>
    <w:basedOn w:val="TableNormal"/>
    <w:uiPriority w:val="99"/>
    <w:qFormat/>
    <w:rsid w:val="00DA18B7"/>
    <w:pPr>
      <w:spacing w:line="200" w:lineRule="atLeast"/>
    </w:pPr>
    <w:rPr>
      <w:rFonts w:ascii="Whitney Book" w:eastAsia="Calibri" w:hAnsi="Whitney Book"/>
      <w:sz w:val="16"/>
      <w:lang w:val="da-DK" w:eastAsia="en-US"/>
    </w:rPr>
    <w:tblPr>
      <w:tblInd w:w="113" w:type="dxa"/>
      <w:tblBorders>
        <w:top w:val="single" w:sz="12" w:space="0" w:color="E7E6E6"/>
        <w:left w:val="single" w:sz="12" w:space="0" w:color="E7E6E6"/>
        <w:bottom w:val="single" w:sz="12" w:space="0" w:color="E7E6E6"/>
        <w:right w:val="single" w:sz="12" w:space="0" w:color="E7E6E6"/>
      </w:tblBorders>
      <w:tblCellMar>
        <w:top w:w="57" w:type="dxa"/>
        <w:left w:w="108" w:type="dxa"/>
        <w:bottom w:w="57" w:type="dxa"/>
        <w:right w:w="108" w:type="dxa"/>
      </w:tblCellMar>
    </w:tblPr>
    <w:tcPr>
      <w:shd w:val="clear" w:color="auto" w:fill="A5A5A5"/>
    </w:tcPr>
    <w:tblStylePr w:type="firstRow">
      <w:rPr>
        <w:rFonts w:ascii="Whitney Semibold" w:hAnsi="Whitney Semibold"/>
        <w:b w:val="0"/>
        <w:color w:val="FFFFFF"/>
        <w:sz w:val="20"/>
      </w:rPr>
      <w:tblPr/>
      <w:tcPr>
        <w:shd w:val="clear" w:color="auto" w:fill="E7E6E6"/>
      </w:tcPr>
    </w:tblStylePr>
  </w:style>
  <w:style w:type="table" w:styleId="TableGrid1">
    <w:name w:val="Table Grid 1"/>
    <w:basedOn w:val="TableNormal"/>
    <w:semiHidden/>
    <w:unhideWhenUsed/>
    <w:locked/>
    <w:rsid w:val="00DA18B7"/>
    <w:pPr>
      <w:spacing w:line="240" w:lineRule="exac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37">
      <w:bodyDiv w:val="1"/>
      <w:marLeft w:val="0"/>
      <w:marRight w:val="0"/>
      <w:marTop w:val="0"/>
      <w:marBottom w:val="0"/>
      <w:divBdr>
        <w:top w:val="none" w:sz="0" w:space="0" w:color="auto"/>
        <w:left w:val="none" w:sz="0" w:space="0" w:color="auto"/>
        <w:bottom w:val="none" w:sz="0" w:space="0" w:color="auto"/>
        <w:right w:val="none" w:sz="0" w:space="0" w:color="auto"/>
      </w:divBdr>
      <w:divsChild>
        <w:div w:id="848254809">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577403451">
                  <w:marLeft w:val="0"/>
                  <w:marRight w:val="0"/>
                  <w:marTop w:val="0"/>
                  <w:marBottom w:val="0"/>
                  <w:divBdr>
                    <w:top w:val="none" w:sz="0" w:space="0" w:color="auto"/>
                    <w:left w:val="none" w:sz="0" w:space="0" w:color="auto"/>
                    <w:bottom w:val="none" w:sz="0" w:space="0" w:color="auto"/>
                    <w:right w:val="none" w:sz="0" w:space="0" w:color="auto"/>
                  </w:divBdr>
                  <w:divsChild>
                    <w:div w:id="586689516">
                      <w:marLeft w:val="0"/>
                      <w:marRight w:val="0"/>
                      <w:marTop w:val="0"/>
                      <w:marBottom w:val="0"/>
                      <w:divBdr>
                        <w:top w:val="none" w:sz="0" w:space="0" w:color="auto"/>
                        <w:left w:val="none" w:sz="0" w:space="0" w:color="auto"/>
                        <w:bottom w:val="none" w:sz="0" w:space="0" w:color="auto"/>
                        <w:right w:val="none" w:sz="0" w:space="0" w:color="auto"/>
                      </w:divBdr>
                      <w:divsChild>
                        <w:div w:id="125975667">
                          <w:marLeft w:val="0"/>
                          <w:marRight w:val="0"/>
                          <w:marTop w:val="0"/>
                          <w:marBottom w:val="0"/>
                          <w:divBdr>
                            <w:top w:val="none" w:sz="0" w:space="0" w:color="auto"/>
                            <w:left w:val="none" w:sz="0" w:space="0" w:color="auto"/>
                            <w:bottom w:val="none" w:sz="0" w:space="0" w:color="auto"/>
                            <w:right w:val="none" w:sz="0" w:space="0" w:color="auto"/>
                          </w:divBdr>
                          <w:divsChild>
                            <w:div w:id="158545961">
                              <w:marLeft w:val="0"/>
                              <w:marRight w:val="0"/>
                              <w:marTop w:val="0"/>
                              <w:marBottom w:val="0"/>
                              <w:divBdr>
                                <w:top w:val="none" w:sz="0" w:space="0" w:color="auto"/>
                                <w:left w:val="none" w:sz="0" w:space="0" w:color="auto"/>
                                <w:bottom w:val="none" w:sz="0" w:space="0" w:color="auto"/>
                                <w:right w:val="none" w:sz="0" w:space="0" w:color="auto"/>
                              </w:divBdr>
                              <w:divsChild>
                                <w:div w:id="1607689944">
                                  <w:marLeft w:val="0"/>
                                  <w:marRight w:val="0"/>
                                  <w:marTop w:val="0"/>
                                  <w:marBottom w:val="0"/>
                                  <w:divBdr>
                                    <w:top w:val="none" w:sz="0" w:space="0" w:color="auto"/>
                                    <w:left w:val="none" w:sz="0" w:space="0" w:color="auto"/>
                                    <w:bottom w:val="none" w:sz="0" w:space="0" w:color="auto"/>
                                    <w:right w:val="none" w:sz="0" w:space="0" w:color="auto"/>
                                  </w:divBdr>
                                  <w:divsChild>
                                    <w:div w:id="1604066518">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0"/>
                                          <w:marRight w:val="0"/>
                                          <w:marTop w:val="0"/>
                                          <w:marBottom w:val="0"/>
                                          <w:divBdr>
                                            <w:top w:val="none" w:sz="0" w:space="0" w:color="auto"/>
                                            <w:left w:val="none" w:sz="0" w:space="0" w:color="auto"/>
                                            <w:bottom w:val="none" w:sz="0" w:space="0" w:color="auto"/>
                                            <w:right w:val="none" w:sz="0" w:space="0" w:color="auto"/>
                                          </w:divBdr>
                                          <w:divsChild>
                                            <w:div w:id="1181621458">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1596131925">
                                                      <w:marLeft w:val="0"/>
                                                      <w:marRight w:val="0"/>
                                                      <w:marTop w:val="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117025209">
                                                              <w:marLeft w:val="0"/>
                                                              <w:marRight w:val="0"/>
                                                              <w:marTop w:val="0"/>
                                                              <w:marBottom w:val="0"/>
                                                              <w:divBdr>
                                                                <w:top w:val="none" w:sz="0" w:space="0" w:color="auto"/>
                                                                <w:left w:val="none" w:sz="0" w:space="0" w:color="auto"/>
                                                                <w:bottom w:val="none" w:sz="0" w:space="0" w:color="auto"/>
                                                                <w:right w:val="none" w:sz="0" w:space="0" w:color="auto"/>
                                                              </w:divBdr>
                                                              <w:divsChild>
                                                                <w:div w:id="1379167214">
                                                                  <w:marLeft w:val="0"/>
                                                                  <w:marRight w:val="0"/>
                                                                  <w:marTop w:val="0"/>
                                                                  <w:marBottom w:val="0"/>
                                                                  <w:divBdr>
                                                                    <w:top w:val="none" w:sz="0" w:space="0" w:color="auto"/>
                                                                    <w:left w:val="none" w:sz="0" w:space="0" w:color="auto"/>
                                                                    <w:bottom w:val="none" w:sz="0" w:space="0" w:color="auto"/>
                                                                    <w:right w:val="none" w:sz="0" w:space="0" w:color="auto"/>
                                                                  </w:divBdr>
                                                                  <w:divsChild>
                                                                    <w:div w:id="373428841">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9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555">
          <w:marLeft w:val="0"/>
          <w:marRight w:val="0"/>
          <w:marTop w:val="0"/>
          <w:marBottom w:val="0"/>
          <w:divBdr>
            <w:top w:val="none" w:sz="0" w:space="0" w:color="auto"/>
            <w:left w:val="none" w:sz="0" w:space="0" w:color="auto"/>
            <w:bottom w:val="none" w:sz="0" w:space="0" w:color="auto"/>
            <w:right w:val="none" w:sz="0" w:space="0" w:color="auto"/>
          </w:divBdr>
        </w:div>
      </w:divsChild>
    </w:div>
    <w:div w:id="106313145">
      <w:bodyDiv w:val="1"/>
      <w:marLeft w:val="0"/>
      <w:marRight w:val="0"/>
      <w:marTop w:val="0"/>
      <w:marBottom w:val="0"/>
      <w:divBdr>
        <w:top w:val="none" w:sz="0" w:space="0" w:color="auto"/>
        <w:left w:val="none" w:sz="0" w:space="0" w:color="auto"/>
        <w:bottom w:val="none" w:sz="0" w:space="0" w:color="auto"/>
        <w:right w:val="none" w:sz="0" w:space="0" w:color="auto"/>
      </w:divBdr>
    </w:div>
    <w:div w:id="146165667">
      <w:bodyDiv w:val="1"/>
      <w:marLeft w:val="0"/>
      <w:marRight w:val="0"/>
      <w:marTop w:val="0"/>
      <w:marBottom w:val="0"/>
      <w:divBdr>
        <w:top w:val="none" w:sz="0" w:space="0" w:color="auto"/>
        <w:left w:val="none" w:sz="0" w:space="0" w:color="auto"/>
        <w:bottom w:val="none" w:sz="0" w:space="0" w:color="auto"/>
        <w:right w:val="none" w:sz="0" w:space="0" w:color="auto"/>
      </w:divBdr>
    </w:div>
    <w:div w:id="324087727">
      <w:bodyDiv w:val="1"/>
      <w:marLeft w:val="0"/>
      <w:marRight w:val="0"/>
      <w:marTop w:val="0"/>
      <w:marBottom w:val="0"/>
      <w:divBdr>
        <w:top w:val="none" w:sz="0" w:space="0" w:color="auto"/>
        <w:left w:val="none" w:sz="0" w:space="0" w:color="auto"/>
        <w:bottom w:val="none" w:sz="0" w:space="0" w:color="auto"/>
        <w:right w:val="none" w:sz="0" w:space="0" w:color="auto"/>
      </w:divBdr>
    </w:div>
    <w:div w:id="577322426">
      <w:bodyDiv w:val="1"/>
      <w:marLeft w:val="0"/>
      <w:marRight w:val="0"/>
      <w:marTop w:val="0"/>
      <w:marBottom w:val="0"/>
      <w:divBdr>
        <w:top w:val="none" w:sz="0" w:space="0" w:color="auto"/>
        <w:left w:val="none" w:sz="0" w:space="0" w:color="auto"/>
        <w:bottom w:val="none" w:sz="0" w:space="0" w:color="auto"/>
        <w:right w:val="none" w:sz="0" w:space="0" w:color="auto"/>
      </w:divBdr>
    </w:div>
    <w:div w:id="930623606">
      <w:bodyDiv w:val="1"/>
      <w:marLeft w:val="0"/>
      <w:marRight w:val="0"/>
      <w:marTop w:val="0"/>
      <w:marBottom w:val="0"/>
      <w:divBdr>
        <w:top w:val="none" w:sz="0" w:space="0" w:color="auto"/>
        <w:left w:val="none" w:sz="0" w:space="0" w:color="auto"/>
        <w:bottom w:val="none" w:sz="0" w:space="0" w:color="auto"/>
        <w:right w:val="none" w:sz="0" w:space="0" w:color="auto"/>
      </w:divBdr>
    </w:div>
    <w:div w:id="947590502">
      <w:bodyDiv w:val="1"/>
      <w:marLeft w:val="0"/>
      <w:marRight w:val="0"/>
      <w:marTop w:val="0"/>
      <w:marBottom w:val="0"/>
      <w:divBdr>
        <w:top w:val="none" w:sz="0" w:space="0" w:color="auto"/>
        <w:left w:val="none" w:sz="0" w:space="0" w:color="auto"/>
        <w:bottom w:val="none" w:sz="0" w:space="0" w:color="auto"/>
        <w:right w:val="none" w:sz="0" w:space="0" w:color="auto"/>
      </w:divBdr>
    </w:div>
    <w:div w:id="1536886912">
      <w:bodyDiv w:val="1"/>
      <w:marLeft w:val="0"/>
      <w:marRight w:val="0"/>
      <w:marTop w:val="0"/>
      <w:marBottom w:val="0"/>
      <w:divBdr>
        <w:top w:val="none" w:sz="0" w:space="0" w:color="auto"/>
        <w:left w:val="none" w:sz="0" w:space="0" w:color="auto"/>
        <w:bottom w:val="none" w:sz="0" w:space="0" w:color="auto"/>
        <w:right w:val="none" w:sz="0" w:space="0" w:color="auto"/>
      </w:divBdr>
    </w:div>
    <w:div w:id="1769231434">
      <w:bodyDiv w:val="1"/>
      <w:marLeft w:val="0"/>
      <w:marRight w:val="0"/>
      <w:marTop w:val="0"/>
      <w:marBottom w:val="0"/>
      <w:divBdr>
        <w:top w:val="none" w:sz="0" w:space="0" w:color="auto"/>
        <w:left w:val="none" w:sz="0" w:space="0" w:color="auto"/>
        <w:bottom w:val="none" w:sz="0" w:space="0" w:color="auto"/>
        <w:right w:val="none" w:sz="0" w:space="0" w:color="auto"/>
      </w:divBdr>
    </w:div>
    <w:div w:id="1882210279">
      <w:bodyDiv w:val="1"/>
      <w:marLeft w:val="0"/>
      <w:marRight w:val="0"/>
      <w:marTop w:val="0"/>
      <w:marBottom w:val="0"/>
      <w:divBdr>
        <w:top w:val="none" w:sz="0" w:space="0" w:color="auto"/>
        <w:left w:val="none" w:sz="0" w:space="0" w:color="auto"/>
        <w:bottom w:val="none" w:sz="0" w:space="0" w:color="auto"/>
        <w:right w:val="none" w:sz="0" w:space="0" w:color="auto"/>
      </w:divBdr>
    </w:div>
    <w:div w:id="190817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A0A9-1555-40F5-B135-5FD2E8E5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9842</Words>
  <Characters>5610</Characters>
  <Application>Microsoft Office Word</Application>
  <DocSecurity>0</DocSecurity>
  <Lines>46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EN-Adopted</vt:lpstr>
      <vt:lpstr>Brussels, 9 January 2008</vt:lpstr>
    </vt:vector>
  </TitlesOfParts>
  <Company>ETUH</Company>
  <LinksUpToDate>false</LinksUpToDate>
  <CharactersWithSpaces>15422</CharactersWithSpaces>
  <SharedDoc>false</SharedDoc>
  <HLinks>
    <vt:vector size="6" baseType="variant">
      <vt:variant>
        <vt:i4>786505</vt:i4>
      </vt:variant>
      <vt:variant>
        <vt:i4>-1</vt:i4>
      </vt:variant>
      <vt:variant>
        <vt:i4>2056</vt:i4>
      </vt:variant>
      <vt:variant>
        <vt:i4>1</vt:i4>
      </vt:variant>
      <vt:variant>
        <vt:lpwstr>CES_gabarit_Word_logo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EN-Adopted</dc:title>
  <dc:creator>Lwatrin</dc:creator>
  <cp:keywords>ETUC</cp:keywords>
  <cp:lastModifiedBy>Sanita Lorence</cp:lastModifiedBy>
  <cp:revision>2</cp:revision>
  <cp:lastPrinted>2013-01-30T08:11:00Z</cp:lastPrinted>
  <dcterms:created xsi:type="dcterms:W3CDTF">2014-02-18T07:48:00Z</dcterms:created>
  <dcterms:modified xsi:type="dcterms:W3CDTF">2014-02-18T07:48:00Z</dcterms:modified>
</cp:coreProperties>
</file>